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1466C" w14:textId="77777777" w:rsidR="00C1165D" w:rsidRPr="00C1165D" w:rsidRDefault="001136E6" w:rsidP="00C1165D">
      <w:pPr>
        <w:spacing w:line="360" w:lineRule="auto"/>
        <w:rPr>
          <w:rFonts w:asciiTheme="majorHAnsi" w:hAnsiTheme="majorHAnsi"/>
        </w:rPr>
      </w:pPr>
      <w:r w:rsidRPr="001136E6">
        <w:rPr>
          <w:rFonts w:asciiTheme="majorHAnsi" w:hAnsiTheme="majorHAnsi" w:cs="Times New Roman (Body CS)"/>
          <w:spacing w:val="30"/>
          <w:sz w:val="46"/>
          <w:szCs w:val="46"/>
        </w:rPr>
        <w:t>PAYMENT OF FEES POLICY</w:t>
      </w:r>
      <w:r w:rsidRPr="001136E6">
        <w:rPr>
          <w:rFonts w:asciiTheme="majorHAnsi" w:hAnsiTheme="majorHAnsi" w:cs="Times New Roman (Body CS)"/>
          <w:spacing w:val="30"/>
          <w:szCs w:val="18"/>
          <w:lang w:eastAsia="en-AU"/>
        </w:rPr>
        <w:br/>
      </w:r>
      <w:r w:rsidR="00C1165D" w:rsidRPr="00C1165D">
        <w:rPr>
          <w:rFonts w:asciiTheme="majorHAnsi" w:hAnsiTheme="majorHAnsi"/>
        </w:rPr>
        <w:t xml:space="preserve">Quality early education and care provides the foundation for children’s development and social engagement whilst supporting workforce participation of parents and carers. Our Service is committed to providing quality education and care to all children at an affordable fee for families. </w:t>
      </w:r>
    </w:p>
    <w:p w14:paraId="1B96993A" w14:textId="3A5A4922" w:rsidR="00136ABB" w:rsidRPr="00C1165D" w:rsidRDefault="00C1165D" w:rsidP="00C1165D">
      <w:pPr>
        <w:spacing w:line="360" w:lineRule="auto"/>
        <w:rPr>
          <w:rFonts w:asciiTheme="majorHAnsi" w:hAnsiTheme="majorHAnsi"/>
        </w:rPr>
      </w:pPr>
      <w:r w:rsidRPr="00C1165D">
        <w:rPr>
          <w:rFonts w:asciiTheme="majorHAnsi" w:hAnsiTheme="majorHAnsi"/>
        </w:rPr>
        <w:t xml:space="preserve">As an approved childcare service, Child Care Subsidy (CCS) is available to reduce fees to eligible families. Our fee structure is based on our ability to provide the requirements of the Education and Care National Law and National Regulations, Family Assistance Law, the Australian Taxation </w:t>
      </w:r>
      <w:proofErr w:type="gramStart"/>
      <w:r w:rsidRPr="00C1165D">
        <w:rPr>
          <w:rFonts w:asciiTheme="majorHAnsi" w:hAnsiTheme="majorHAnsi"/>
        </w:rPr>
        <w:t>Office</w:t>
      </w:r>
      <w:proofErr w:type="gramEnd"/>
      <w:r w:rsidRPr="00C1165D">
        <w:rPr>
          <w:rFonts w:asciiTheme="majorHAnsi" w:hAnsiTheme="majorHAnsi"/>
        </w:rPr>
        <w:t xml:space="preserve"> and guidelines contained in the Child Care Provider Handbook. </w:t>
      </w:r>
    </w:p>
    <w:p w14:paraId="0611F81B" w14:textId="22726099"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1609"/>
        <w:gridCol w:w="6804"/>
      </w:tblGrid>
      <w:tr w:rsidR="0036669C" w:rsidRPr="00151775" w14:paraId="07560DF8" w14:textId="77777777" w:rsidTr="00310574">
        <w:trPr>
          <w:trHeight w:val="495"/>
        </w:trPr>
        <w:tc>
          <w:tcPr>
            <w:tcW w:w="9185" w:type="dxa"/>
            <w:gridSpan w:val="3"/>
            <w:shd w:val="clear" w:color="auto" w:fill="D9D9D9" w:themeFill="background1" w:themeFillShade="D9"/>
            <w:vAlign w:val="center"/>
          </w:tcPr>
          <w:p w14:paraId="62483640" w14:textId="44534D24"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 xml:space="preserve">UALITY AREA </w:t>
            </w:r>
            <w:r w:rsidR="00310574">
              <w:t>7</w:t>
            </w:r>
            <w:r>
              <w:t xml:space="preserve">:  </w:t>
            </w:r>
            <w:r w:rsidR="00310574">
              <w:rPr>
                <w:rFonts w:ascii="Calibri Light" w:hAnsi="Calibri Light"/>
                <w:color w:val="000000" w:themeColor="text1"/>
                <w:sz w:val="24"/>
                <w:szCs w:val="24"/>
                <w:lang w:val="en-US"/>
              </w:rPr>
              <w:t>GOVERNANCE AND LEADERSHIP</w:t>
            </w:r>
          </w:p>
        </w:tc>
      </w:tr>
      <w:tr w:rsidR="00310574" w14:paraId="709C42F0" w14:textId="77777777" w:rsidTr="009B1864">
        <w:trPr>
          <w:trHeight w:val="629"/>
        </w:trPr>
        <w:tc>
          <w:tcPr>
            <w:tcW w:w="772" w:type="dxa"/>
            <w:vAlign w:val="center"/>
          </w:tcPr>
          <w:p w14:paraId="0B6298F9" w14:textId="0704AACE" w:rsidR="00310574" w:rsidRPr="00310574" w:rsidRDefault="00310574" w:rsidP="00310574">
            <w:pPr>
              <w:jc w:val="center"/>
              <w:rPr>
                <w:rFonts w:asciiTheme="majorHAnsi" w:hAnsiTheme="majorHAnsi"/>
                <w:sz w:val="20"/>
                <w:szCs w:val="20"/>
              </w:rPr>
            </w:pPr>
            <w:r w:rsidRPr="00310574">
              <w:rPr>
                <w:rFonts w:asciiTheme="majorHAnsi" w:hAnsiTheme="majorHAnsi"/>
                <w:sz w:val="20"/>
                <w:szCs w:val="20"/>
              </w:rPr>
              <w:t>7.1</w:t>
            </w:r>
          </w:p>
        </w:tc>
        <w:tc>
          <w:tcPr>
            <w:tcW w:w="1609" w:type="dxa"/>
            <w:vAlign w:val="center"/>
          </w:tcPr>
          <w:p w14:paraId="770D3442" w14:textId="3CFDA4A3" w:rsidR="00310574" w:rsidRPr="00310574" w:rsidRDefault="00310574" w:rsidP="00310574">
            <w:pPr>
              <w:rPr>
                <w:rFonts w:asciiTheme="majorHAnsi" w:hAnsiTheme="majorHAnsi"/>
                <w:sz w:val="20"/>
                <w:szCs w:val="20"/>
              </w:rPr>
            </w:pPr>
            <w:r w:rsidRPr="00310574">
              <w:rPr>
                <w:rFonts w:asciiTheme="majorHAnsi" w:hAnsiTheme="majorHAnsi"/>
                <w:sz w:val="20"/>
                <w:szCs w:val="20"/>
              </w:rPr>
              <w:t xml:space="preserve">Governance </w:t>
            </w:r>
          </w:p>
        </w:tc>
        <w:tc>
          <w:tcPr>
            <w:tcW w:w="6804" w:type="dxa"/>
            <w:vAlign w:val="center"/>
          </w:tcPr>
          <w:p w14:paraId="0921CC03" w14:textId="02F88745" w:rsidR="00310574" w:rsidRPr="00310574" w:rsidRDefault="00310574" w:rsidP="00310574">
            <w:pPr>
              <w:rPr>
                <w:rFonts w:asciiTheme="majorHAnsi" w:hAnsiTheme="majorHAnsi"/>
                <w:sz w:val="20"/>
                <w:szCs w:val="20"/>
              </w:rPr>
            </w:pPr>
            <w:r w:rsidRPr="00310574">
              <w:rPr>
                <w:rFonts w:asciiTheme="majorHAnsi" w:hAnsiTheme="majorHAnsi"/>
                <w:sz w:val="20"/>
                <w:szCs w:val="20"/>
              </w:rPr>
              <w:t xml:space="preserve">Governance supports the operation of a quality service </w:t>
            </w:r>
          </w:p>
        </w:tc>
      </w:tr>
      <w:tr w:rsidR="00310574" w14:paraId="141C76D6" w14:textId="77777777" w:rsidTr="009B1864">
        <w:trPr>
          <w:trHeight w:val="694"/>
        </w:trPr>
        <w:tc>
          <w:tcPr>
            <w:tcW w:w="772" w:type="dxa"/>
            <w:shd w:val="clear" w:color="auto" w:fill="F2F2F2" w:themeFill="background1" w:themeFillShade="F2"/>
            <w:vAlign w:val="center"/>
          </w:tcPr>
          <w:p w14:paraId="2EA46928" w14:textId="65A43FDF" w:rsidR="00310574" w:rsidRPr="00310574" w:rsidRDefault="00310574" w:rsidP="00310574">
            <w:pPr>
              <w:jc w:val="center"/>
              <w:rPr>
                <w:rFonts w:asciiTheme="majorHAnsi" w:hAnsiTheme="majorHAnsi"/>
                <w:sz w:val="20"/>
                <w:szCs w:val="20"/>
              </w:rPr>
            </w:pPr>
            <w:r w:rsidRPr="00310574">
              <w:rPr>
                <w:rFonts w:asciiTheme="majorHAnsi" w:hAnsiTheme="majorHAnsi"/>
                <w:sz w:val="20"/>
                <w:szCs w:val="20"/>
              </w:rPr>
              <w:t>7.1.2</w:t>
            </w:r>
          </w:p>
        </w:tc>
        <w:tc>
          <w:tcPr>
            <w:tcW w:w="1609" w:type="dxa"/>
            <w:shd w:val="clear" w:color="auto" w:fill="F2F2F2" w:themeFill="background1" w:themeFillShade="F2"/>
            <w:vAlign w:val="center"/>
          </w:tcPr>
          <w:p w14:paraId="7462F700" w14:textId="6B27E0E2" w:rsidR="00310574" w:rsidRPr="00310574" w:rsidRDefault="00310574" w:rsidP="00310574">
            <w:pPr>
              <w:pStyle w:val="CenteredLeftintable"/>
            </w:pPr>
            <w:r w:rsidRPr="00310574">
              <w:t xml:space="preserve">Management Systems </w:t>
            </w:r>
          </w:p>
        </w:tc>
        <w:tc>
          <w:tcPr>
            <w:tcW w:w="6804" w:type="dxa"/>
            <w:shd w:val="clear" w:color="auto" w:fill="F2F2F2" w:themeFill="background1" w:themeFillShade="F2"/>
            <w:vAlign w:val="center"/>
          </w:tcPr>
          <w:p w14:paraId="13AAA22E" w14:textId="1E163DE2" w:rsidR="00310574" w:rsidRPr="00310574" w:rsidRDefault="00310574" w:rsidP="00310574">
            <w:pPr>
              <w:rPr>
                <w:rFonts w:asciiTheme="majorHAnsi" w:hAnsiTheme="majorHAnsi"/>
                <w:sz w:val="20"/>
                <w:szCs w:val="20"/>
              </w:rPr>
            </w:pPr>
            <w:r w:rsidRPr="00310574">
              <w:rPr>
                <w:rFonts w:asciiTheme="majorHAnsi" w:hAnsiTheme="majorHAnsi"/>
                <w:sz w:val="20"/>
                <w:szCs w:val="20"/>
              </w:rPr>
              <w:t xml:space="preserve">Systems are in place to manage risk and enable the effective management and operation of a quality service </w:t>
            </w:r>
          </w:p>
        </w:tc>
      </w:tr>
      <w:tr w:rsidR="00310574" w14:paraId="69AD9603" w14:textId="77777777" w:rsidTr="009B1864">
        <w:trPr>
          <w:trHeight w:val="704"/>
        </w:trPr>
        <w:tc>
          <w:tcPr>
            <w:tcW w:w="772" w:type="dxa"/>
            <w:vAlign w:val="center"/>
          </w:tcPr>
          <w:p w14:paraId="74B75F73" w14:textId="77035888" w:rsidR="00310574" w:rsidRPr="00310574" w:rsidRDefault="00310574" w:rsidP="00310574">
            <w:pPr>
              <w:jc w:val="center"/>
              <w:rPr>
                <w:rFonts w:asciiTheme="majorHAnsi" w:hAnsiTheme="majorHAnsi"/>
                <w:sz w:val="20"/>
                <w:szCs w:val="20"/>
              </w:rPr>
            </w:pPr>
            <w:r w:rsidRPr="00310574">
              <w:rPr>
                <w:rFonts w:asciiTheme="majorHAnsi" w:hAnsiTheme="majorHAnsi"/>
                <w:sz w:val="20"/>
                <w:szCs w:val="20"/>
              </w:rPr>
              <w:t>7.1.3</w:t>
            </w:r>
          </w:p>
        </w:tc>
        <w:tc>
          <w:tcPr>
            <w:tcW w:w="1609" w:type="dxa"/>
            <w:vAlign w:val="center"/>
          </w:tcPr>
          <w:p w14:paraId="39D5A594" w14:textId="7AAA59C8" w:rsidR="00310574" w:rsidRPr="00310574" w:rsidRDefault="00310574" w:rsidP="00310574">
            <w:pPr>
              <w:rPr>
                <w:rFonts w:asciiTheme="majorHAnsi" w:hAnsiTheme="majorHAnsi"/>
                <w:sz w:val="20"/>
                <w:szCs w:val="20"/>
              </w:rPr>
            </w:pPr>
            <w:r w:rsidRPr="00310574">
              <w:rPr>
                <w:rFonts w:asciiTheme="majorHAnsi" w:hAnsiTheme="majorHAnsi"/>
                <w:sz w:val="20"/>
                <w:szCs w:val="20"/>
              </w:rPr>
              <w:t xml:space="preserve">Roles and Responsibilities </w:t>
            </w:r>
          </w:p>
        </w:tc>
        <w:tc>
          <w:tcPr>
            <w:tcW w:w="6804" w:type="dxa"/>
            <w:vAlign w:val="center"/>
          </w:tcPr>
          <w:p w14:paraId="543E00B2" w14:textId="278989A2" w:rsidR="00310574" w:rsidRPr="00310574" w:rsidRDefault="00310574" w:rsidP="00310574">
            <w:pPr>
              <w:rPr>
                <w:rFonts w:asciiTheme="majorHAnsi" w:hAnsiTheme="majorHAnsi"/>
                <w:sz w:val="20"/>
                <w:szCs w:val="20"/>
              </w:rPr>
            </w:pPr>
            <w:r w:rsidRPr="00310574">
              <w:rPr>
                <w:rFonts w:asciiTheme="majorHAnsi" w:hAnsiTheme="majorHAnsi"/>
                <w:sz w:val="20"/>
                <w:szCs w:val="20"/>
              </w:rPr>
              <w:t>Roles and responsibilities are clearly define</w:t>
            </w:r>
            <w:r w:rsidR="00F85785">
              <w:rPr>
                <w:rFonts w:asciiTheme="majorHAnsi" w:hAnsiTheme="majorHAnsi"/>
                <w:sz w:val="20"/>
                <w:szCs w:val="20"/>
              </w:rPr>
              <w:t>d</w:t>
            </w:r>
            <w:r w:rsidRPr="00310574">
              <w:rPr>
                <w:rFonts w:asciiTheme="majorHAnsi" w:hAnsiTheme="majorHAnsi"/>
                <w:sz w:val="20"/>
                <w:szCs w:val="20"/>
              </w:rPr>
              <w:t xml:space="preserve">, and understood and support effective decision making and operation of the service </w:t>
            </w:r>
          </w:p>
        </w:tc>
      </w:tr>
    </w:tbl>
    <w:p w14:paraId="044E86F5" w14:textId="5760E1C7" w:rsidR="00A81408" w:rsidRPr="00344B89"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A81408">
        <w:trPr>
          <w:trHeight w:val="528"/>
        </w:trPr>
        <w:tc>
          <w:tcPr>
            <w:tcW w:w="9180" w:type="dxa"/>
            <w:gridSpan w:val="2"/>
            <w:shd w:val="clear" w:color="auto" w:fill="F2F2F2" w:themeFill="background1" w:themeFillShade="F2"/>
            <w:vAlign w:val="center"/>
          </w:tcPr>
          <w:p w14:paraId="539C08BE" w14:textId="27432EA3" w:rsidR="00A81408" w:rsidRPr="00EB71D0" w:rsidRDefault="00EB71D0" w:rsidP="00A81408">
            <w:pPr>
              <w:ind w:hanging="27"/>
              <w:rPr>
                <w:rFonts w:asciiTheme="majorHAnsi" w:hAnsiTheme="majorHAnsi" w:cstheme="majorHAnsi"/>
                <w:color w:val="000000" w:themeColor="text1"/>
                <w:sz w:val="24"/>
              </w:rPr>
            </w:pPr>
            <w:r w:rsidRPr="00EB71D0">
              <w:rPr>
                <w:rFonts w:asciiTheme="majorHAnsi" w:hAnsiTheme="majorHAnsi" w:cstheme="majorHAnsi"/>
                <w:sz w:val="24"/>
                <w:szCs w:val="24"/>
                <w:lang w:val="en-US"/>
              </w:rPr>
              <w:t>EDUCATION AND CARE SERVICES NATIONAL REGULATIONS</w:t>
            </w:r>
          </w:p>
        </w:tc>
      </w:tr>
      <w:tr w:rsidR="00A81408" w14:paraId="13B4DF07" w14:textId="77777777" w:rsidTr="00A81408">
        <w:trPr>
          <w:trHeight w:val="576"/>
        </w:trPr>
        <w:tc>
          <w:tcPr>
            <w:tcW w:w="1101" w:type="dxa"/>
            <w:shd w:val="clear" w:color="auto" w:fill="auto"/>
            <w:vAlign w:val="center"/>
          </w:tcPr>
          <w:p w14:paraId="69E3B540" w14:textId="04D0FB33" w:rsidR="00A81408" w:rsidRPr="003A2333" w:rsidRDefault="00A81408" w:rsidP="00A81408">
            <w:pPr>
              <w:jc w:val="center"/>
              <w:rPr>
                <w:rFonts w:ascii="Calibri Light" w:hAnsi="Calibri Light" w:cs="Calibri"/>
              </w:rPr>
            </w:pPr>
            <w:r w:rsidRPr="004E6172">
              <w:rPr>
                <w:rFonts w:asciiTheme="majorHAnsi" w:hAnsiTheme="majorHAnsi" w:cs="Calibri"/>
              </w:rPr>
              <w:t>168</w:t>
            </w:r>
          </w:p>
        </w:tc>
        <w:tc>
          <w:tcPr>
            <w:tcW w:w="8079" w:type="dxa"/>
            <w:shd w:val="clear" w:color="auto" w:fill="auto"/>
            <w:vAlign w:val="center"/>
          </w:tcPr>
          <w:p w14:paraId="5FAD3AC7" w14:textId="60419863" w:rsidR="00A81408" w:rsidRPr="003A2333" w:rsidRDefault="00A81408" w:rsidP="00A81408">
            <w:pPr>
              <w:rPr>
                <w:rFonts w:ascii="Calibri Light" w:hAnsi="Calibri Light" w:cs="Calibri"/>
                <w:color w:val="000000"/>
              </w:rPr>
            </w:pPr>
            <w:r w:rsidRPr="004E6172">
              <w:rPr>
                <w:rFonts w:asciiTheme="majorHAnsi" w:hAnsiTheme="majorHAnsi"/>
                <w:szCs w:val="18"/>
              </w:rPr>
              <w:t>Education and care services must have policies and procedures</w:t>
            </w:r>
          </w:p>
        </w:tc>
      </w:tr>
    </w:tbl>
    <w:p w14:paraId="1D593815" w14:textId="1D018955" w:rsidR="005D148A" w:rsidRPr="003A2333" w:rsidRDefault="005D148A" w:rsidP="005D148A">
      <w:pPr>
        <w:spacing w:line="360" w:lineRule="auto"/>
        <w:rPr>
          <w:rFonts w:cs="Arial"/>
          <w:sz w:val="24"/>
          <w:szCs w:val="24"/>
          <w:lang w:val="en-US"/>
        </w:rPr>
      </w:pPr>
      <w:r>
        <w:rPr>
          <w:rFonts w:cs="Arial"/>
          <w:sz w:val="24"/>
          <w:szCs w:val="24"/>
          <w:lang w:val="en-US"/>
        </w:rPr>
        <w:br/>
      </w:r>
      <w:r w:rsidRPr="003A2333">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2A7F2F" w14:paraId="4C82A415" w14:textId="77777777" w:rsidTr="002A7F2F">
        <w:trPr>
          <w:trHeight w:val="1209"/>
        </w:trPr>
        <w:tc>
          <w:tcPr>
            <w:tcW w:w="4590" w:type="dxa"/>
            <w:shd w:val="clear" w:color="auto" w:fill="auto"/>
            <w:vAlign w:val="center"/>
          </w:tcPr>
          <w:p w14:paraId="572D3E8C" w14:textId="77777777" w:rsidR="002A7F2F" w:rsidRPr="002A7F2F" w:rsidRDefault="002A7F2F" w:rsidP="002A7F2F">
            <w:pPr>
              <w:rPr>
                <w:rFonts w:asciiTheme="majorHAnsi" w:hAnsiTheme="majorHAnsi"/>
              </w:rPr>
            </w:pPr>
            <w:r w:rsidRPr="002A7F2F">
              <w:rPr>
                <w:rFonts w:asciiTheme="majorHAnsi" w:hAnsiTheme="majorHAnsi"/>
              </w:rPr>
              <w:t xml:space="preserve">Arrival and Departure Policy </w:t>
            </w:r>
          </w:p>
          <w:p w14:paraId="7DC57764" w14:textId="77777777" w:rsidR="002A7F2F" w:rsidRPr="002A7F2F" w:rsidRDefault="002A7F2F" w:rsidP="002A7F2F">
            <w:pPr>
              <w:rPr>
                <w:rFonts w:asciiTheme="majorHAnsi" w:hAnsiTheme="majorHAnsi"/>
              </w:rPr>
            </w:pPr>
            <w:r w:rsidRPr="002A7F2F">
              <w:rPr>
                <w:rFonts w:asciiTheme="majorHAnsi" w:hAnsiTheme="majorHAnsi"/>
              </w:rPr>
              <w:t>Child Care Subsidy (CCS) Governance Policy</w:t>
            </w:r>
          </w:p>
          <w:p w14:paraId="1B82452C" w14:textId="77777777" w:rsidR="002A7F2F" w:rsidRPr="002A7F2F" w:rsidRDefault="002A7F2F" w:rsidP="002A7F2F">
            <w:pPr>
              <w:rPr>
                <w:rFonts w:asciiTheme="majorHAnsi" w:hAnsiTheme="majorHAnsi"/>
              </w:rPr>
            </w:pPr>
            <w:r w:rsidRPr="002A7F2F">
              <w:rPr>
                <w:rFonts w:asciiTheme="majorHAnsi" w:hAnsiTheme="majorHAnsi"/>
              </w:rPr>
              <w:t xml:space="preserve">Enrolment Policy </w:t>
            </w:r>
          </w:p>
          <w:p w14:paraId="16AF103E" w14:textId="6FA4569D" w:rsidR="002A7F2F" w:rsidRPr="002A7F2F" w:rsidRDefault="002A7F2F" w:rsidP="002A7F2F">
            <w:pPr>
              <w:rPr>
                <w:rFonts w:asciiTheme="majorHAnsi" w:hAnsiTheme="majorHAnsi"/>
              </w:rPr>
            </w:pPr>
            <w:r w:rsidRPr="002A7F2F">
              <w:rPr>
                <w:rFonts w:asciiTheme="majorHAnsi" w:hAnsiTheme="majorHAnsi"/>
              </w:rPr>
              <w:t xml:space="preserve">Governance Policy </w:t>
            </w:r>
          </w:p>
        </w:tc>
        <w:tc>
          <w:tcPr>
            <w:tcW w:w="4590" w:type="dxa"/>
            <w:shd w:val="clear" w:color="auto" w:fill="auto"/>
            <w:vAlign w:val="center"/>
          </w:tcPr>
          <w:p w14:paraId="06BA000E" w14:textId="77777777" w:rsidR="002A7F2F" w:rsidRPr="002A7F2F" w:rsidRDefault="002A7F2F" w:rsidP="002A7F2F">
            <w:pPr>
              <w:rPr>
                <w:rFonts w:asciiTheme="majorHAnsi" w:hAnsiTheme="majorHAnsi"/>
              </w:rPr>
            </w:pPr>
            <w:r w:rsidRPr="002A7F2F">
              <w:rPr>
                <w:rFonts w:asciiTheme="majorHAnsi" w:hAnsiTheme="majorHAnsi"/>
              </w:rPr>
              <w:t xml:space="preserve">Orientation of New Families Policy </w:t>
            </w:r>
          </w:p>
          <w:p w14:paraId="28A0CA17" w14:textId="77777777" w:rsidR="002A7F2F" w:rsidRPr="002A7F2F" w:rsidRDefault="002A7F2F" w:rsidP="002A7F2F">
            <w:pPr>
              <w:rPr>
                <w:rFonts w:asciiTheme="majorHAnsi" w:hAnsiTheme="majorHAnsi"/>
              </w:rPr>
            </w:pPr>
            <w:r w:rsidRPr="002A7F2F">
              <w:rPr>
                <w:rFonts w:asciiTheme="majorHAnsi" w:hAnsiTheme="majorHAnsi"/>
              </w:rPr>
              <w:t xml:space="preserve">Privacy and Confidentiality Policy </w:t>
            </w:r>
          </w:p>
          <w:p w14:paraId="09C10251" w14:textId="3B75A641" w:rsidR="002A7F2F" w:rsidRPr="002A7F2F" w:rsidRDefault="002A7F2F" w:rsidP="002A7F2F">
            <w:pPr>
              <w:rPr>
                <w:rFonts w:asciiTheme="majorHAnsi" w:hAnsiTheme="majorHAnsi"/>
              </w:rPr>
            </w:pPr>
            <w:r w:rsidRPr="002A7F2F">
              <w:rPr>
                <w:rFonts w:asciiTheme="majorHAnsi" w:hAnsiTheme="majorHAnsi"/>
              </w:rPr>
              <w:t xml:space="preserve">Termination of Enrolment Policy </w:t>
            </w:r>
          </w:p>
        </w:tc>
      </w:tr>
    </w:tbl>
    <w:p w14:paraId="02F0408C" w14:textId="77777777" w:rsidR="00A81408" w:rsidRDefault="00A81408" w:rsidP="0036669C">
      <w:pPr>
        <w:spacing w:line="360" w:lineRule="auto"/>
        <w:rPr>
          <w:rFonts w:cs="Arial"/>
          <w:color w:val="22A1BB"/>
          <w:sz w:val="24"/>
          <w:szCs w:val="24"/>
          <w:lang w:val="en-US"/>
        </w:rPr>
      </w:pPr>
    </w:p>
    <w:p w14:paraId="33B5ECC3" w14:textId="77777777" w:rsidR="005D148A" w:rsidRPr="0045799A" w:rsidRDefault="005D148A" w:rsidP="005D148A">
      <w:pPr>
        <w:spacing w:line="360" w:lineRule="auto"/>
        <w:rPr>
          <w:rFonts w:asciiTheme="majorHAnsi" w:hAnsiTheme="majorHAnsi" w:cs="Arial"/>
        </w:rPr>
      </w:pPr>
      <w:r w:rsidRPr="009F124F">
        <w:rPr>
          <w:rFonts w:cs="Arial"/>
          <w:sz w:val="24"/>
          <w:szCs w:val="24"/>
        </w:rPr>
        <w:t>PURPOSE</w:t>
      </w:r>
    </w:p>
    <w:p w14:paraId="1BB2D1DB" w14:textId="2074E1DE" w:rsidR="00310574" w:rsidRPr="00310574" w:rsidRDefault="00310574" w:rsidP="00310574">
      <w:pPr>
        <w:pStyle w:val="NoSpacing"/>
        <w:spacing w:line="360" w:lineRule="auto"/>
        <w:rPr>
          <w:rFonts w:asciiTheme="majorHAnsi" w:hAnsiTheme="majorHAnsi"/>
        </w:rPr>
      </w:pPr>
      <w:r w:rsidRPr="00310574">
        <w:rPr>
          <w:rFonts w:asciiTheme="majorHAnsi" w:hAnsiTheme="majorHAnsi"/>
        </w:rPr>
        <w:t xml:space="preserve">For parents to gain a clear understanding of </w:t>
      </w:r>
      <w:r w:rsidR="00A820D9">
        <w:rPr>
          <w:rFonts w:asciiTheme="majorHAnsi" w:hAnsiTheme="majorHAnsi"/>
        </w:rPr>
        <w:t>Waratah All Year Care’s</w:t>
      </w:r>
      <w:r w:rsidRPr="00310574">
        <w:rPr>
          <w:rFonts w:asciiTheme="majorHAnsi" w:hAnsiTheme="majorHAnsi"/>
        </w:rPr>
        <w:t xml:space="preserve"> fee structure ensuring children’s fees are paid on time and that there are consequences for failure to pay fees on time. </w:t>
      </w:r>
    </w:p>
    <w:p w14:paraId="350E1C4E" w14:textId="77777777" w:rsidR="005D148A" w:rsidRDefault="005D148A" w:rsidP="005D148A">
      <w:pPr>
        <w:spacing w:after="0" w:line="360" w:lineRule="auto"/>
        <w:rPr>
          <w:rFonts w:asciiTheme="majorHAnsi" w:hAnsiTheme="majorHAnsi" w:cs="Arial"/>
          <w:szCs w:val="18"/>
          <w:lang w:eastAsia="en-AU"/>
        </w:rPr>
      </w:pPr>
    </w:p>
    <w:p w14:paraId="7960BCB1" w14:textId="77777777" w:rsidR="005D148A" w:rsidRDefault="005D148A" w:rsidP="005D148A">
      <w:pPr>
        <w:spacing w:line="360" w:lineRule="auto"/>
        <w:rPr>
          <w:rFonts w:asciiTheme="majorHAnsi" w:hAnsiTheme="majorHAnsi" w:cs="Arial"/>
        </w:rPr>
      </w:pPr>
      <w:r>
        <w:rPr>
          <w:rFonts w:cs="Arial"/>
          <w:sz w:val="24"/>
          <w:szCs w:val="24"/>
        </w:rPr>
        <w:t>SCOPE</w:t>
      </w:r>
    </w:p>
    <w:p w14:paraId="6FB7ED0D" w14:textId="77777777" w:rsidR="00310574" w:rsidRPr="00AE4798" w:rsidRDefault="00310574" w:rsidP="00310574">
      <w:pPr>
        <w:spacing w:after="0"/>
        <w:rPr>
          <w:rFonts w:asciiTheme="majorHAnsi" w:hAnsiTheme="majorHAnsi"/>
        </w:rPr>
      </w:pPr>
      <w:r w:rsidRPr="00AE4798">
        <w:rPr>
          <w:rFonts w:asciiTheme="majorHAnsi" w:hAnsiTheme="majorHAnsi"/>
        </w:rPr>
        <w:lastRenderedPageBreak/>
        <w:t xml:space="preserve">This policy applies to </w:t>
      </w:r>
      <w:r>
        <w:rPr>
          <w:rFonts w:asciiTheme="majorHAnsi" w:hAnsiTheme="majorHAnsi"/>
        </w:rPr>
        <w:t xml:space="preserve">management and families </w:t>
      </w:r>
      <w:r w:rsidRPr="00AE4798">
        <w:rPr>
          <w:rFonts w:asciiTheme="majorHAnsi" w:hAnsiTheme="majorHAnsi"/>
        </w:rPr>
        <w:t>of the Service.</w:t>
      </w:r>
    </w:p>
    <w:p w14:paraId="48EFB137" w14:textId="77777777" w:rsidR="00EB71D0" w:rsidRDefault="00EB71D0" w:rsidP="005D148A">
      <w:pPr>
        <w:spacing w:after="0" w:line="360" w:lineRule="auto"/>
        <w:rPr>
          <w:rFonts w:asciiTheme="majorHAnsi" w:hAnsiTheme="majorHAnsi"/>
        </w:rPr>
      </w:pPr>
    </w:p>
    <w:p w14:paraId="256D13FE" w14:textId="17FB1729" w:rsidR="005D148A" w:rsidRDefault="005D148A" w:rsidP="005D148A">
      <w:pPr>
        <w:spacing w:line="360" w:lineRule="auto"/>
        <w:rPr>
          <w:rFonts w:cs="Arial"/>
          <w:sz w:val="24"/>
          <w:szCs w:val="24"/>
        </w:rPr>
      </w:pPr>
      <w:r>
        <w:rPr>
          <w:rFonts w:cs="Arial"/>
          <w:sz w:val="24"/>
          <w:szCs w:val="24"/>
        </w:rPr>
        <w:t>IMPLEMENTATION</w:t>
      </w:r>
    </w:p>
    <w:p w14:paraId="16B442E2" w14:textId="631B7884" w:rsidR="00C749E5" w:rsidRDefault="00C749E5" w:rsidP="005D148A">
      <w:pPr>
        <w:spacing w:line="360" w:lineRule="auto"/>
        <w:rPr>
          <w:rFonts w:asciiTheme="majorHAnsi" w:hAnsiTheme="majorHAnsi" w:cs="Arial"/>
        </w:rPr>
      </w:pPr>
      <w:r w:rsidRPr="00C749E5">
        <w:rPr>
          <w:rFonts w:asciiTheme="majorHAnsi" w:hAnsiTheme="majorHAnsi" w:cs="Arial"/>
        </w:rPr>
        <w:t>Our Service aims to ensure families understand the fee schedule and payment process required for education and care to be provided for their child. We are committed to meet our obligations to maintain financial integrity and comply with all Child Care Subsidy legislative requirements. We have effective compliance systems in place to ensure childcare funding is administered appropriately. Our Service ensures the confidentiality and privacy of all personal information provided to the Service about the enrolled child and family.</w:t>
      </w:r>
    </w:p>
    <w:p w14:paraId="7AC3AEA7" w14:textId="736A54FC" w:rsidR="00310574" w:rsidRPr="00AE4798" w:rsidRDefault="00310574" w:rsidP="00A820D9">
      <w:pPr>
        <w:spacing w:after="0"/>
      </w:pPr>
      <w:r w:rsidRPr="00310574">
        <w:rPr>
          <w:rFonts w:asciiTheme="majorHAnsi" w:hAnsiTheme="majorHAnsi" w:cstheme="majorHAnsi"/>
        </w:rPr>
        <w:t>The fee structure of the Service includes:</w:t>
      </w:r>
      <w:r>
        <w:br/>
      </w:r>
    </w:p>
    <w:p w14:paraId="291B1B59" w14:textId="7AA94C0B" w:rsidR="00310574" w:rsidRPr="00290447" w:rsidRDefault="00310574" w:rsidP="00290447">
      <w:pPr>
        <w:pStyle w:val="Policysub-heading"/>
      </w:pPr>
      <w:r w:rsidRPr="00290447">
        <w:t xml:space="preserve">General Fees </w:t>
      </w:r>
      <w:r w:rsidRPr="00290447">
        <w:br/>
      </w:r>
    </w:p>
    <w:p w14:paraId="6820F387" w14:textId="70ECFB0C" w:rsidR="00310574" w:rsidRPr="00AE4798" w:rsidRDefault="00310574" w:rsidP="00310574">
      <w:pPr>
        <w:pStyle w:val="BulletPointsPolicy"/>
        <w:rPr>
          <w:b/>
        </w:rPr>
      </w:pPr>
      <w:r w:rsidRPr="00AE4798">
        <w:t>Fees are charged daily and vary depending on the Child Care Subsidy (which replace</w:t>
      </w:r>
      <w:r>
        <w:t>d</w:t>
      </w:r>
      <w:r w:rsidRPr="00AE4798">
        <w:t xml:space="preserve"> the Child Care Benefit and Child Care Rebate </w:t>
      </w:r>
      <w:r>
        <w:t>in</w:t>
      </w:r>
      <w:r w:rsidRPr="00AE4798">
        <w:t xml:space="preserve"> 2018). The Child Care Subsidy will be paid directly to </w:t>
      </w:r>
      <w:r w:rsidR="00A820D9">
        <w:t>Waratah All Year Care</w:t>
      </w:r>
      <w:r w:rsidR="00AD3FA2">
        <w:t xml:space="preserve"> which </w:t>
      </w:r>
      <w:r w:rsidR="000A6D16">
        <w:t>will be used as a fee reduction (Visible on statement)</w:t>
      </w:r>
      <w:r w:rsidRPr="00AE4798">
        <w:t xml:space="preserve">. </w:t>
      </w:r>
    </w:p>
    <w:p w14:paraId="211AC9CF" w14:textId="5BE1AC18" w:rsidR="00310574" w:rsidRDefault="00310574" w:rsidP="00310574">
      <w:pPr>
        <w:pStyle w:val="BulletPointsPolicy"/>
      </w:pPr>
      <w:r w:rsidRPr="00AE4798">
        <w:t xml:space="preserve">Basic requirements that must be satisfied for an individual to be eligible to receive Child Care Subsidy for a child include: </w:t>
      </w:r>
      <w:r w:rsidR="00290447">
        <w:br/>
      </w:r>
    </w:p>
    <w:p w14:paraId="33EF662D" w14:textId="77777777" w:rsidR="00310574" w:rsidRDefault="00310574" w:rsidP="00310574">
      <w:pPr>
        <w:pStyle w:val="BulletPointsPolicy"/>
        <w:numPr>
          <w:ilvl w:val="0"/>
          <w:numId w:val="34"/>
        </w:numPr>
      </w:pPr>
      <w:r w:rsidRPr="00310574">
        <w:t>The age of the child (must be 13 years or under and not attending secondary school),</w:t>
      </w:r>
    </w:p>
    <w:p w14:paraId="010D2135" w14:textId="77777777" w:rsidR="00310574" w:rsidRDefault="00310574" w:rsidP="00310574">
      <w:pPr>
        <w:pStyle w:val="BulletPointsPolicy"/>
        <w:numPr>
          <w:ilvl w:val="0"/>
          <w:numId w:val="34"/>
        </w:numPr>
      </w:pPr>
      <w:r w:rsidRPr="00310574">
        <w:t>The child meeting immunisation requirements,</w:t>
      </w:r>
    </w:p>
    <w:p w14:paraId="33E3861D" w14:textId="361CB071" w:rsidR="00310574" w:rsidRPr="00310574" w:rsidRDefault="00310574" w:rsidP="00310574">
      <w:pPr>
        <w:pStyle w:val="BulletPointsPolicy"/>
        <w:numPr>
          <w:ilvl w:val="0"/>
          <w:numId w:val="34"/>
        </w:numPr>
      </w:pPr>
      <w:r w:rsidRPr="00310574">
        <w:t xml:space="preserve">The individual, or their partners, meeting the residency requirements. </w:t>
      </w:r>
      <w:r w:rsidR="00290447">
        <w:br/>
      </w:r>
    </w:p>
    <w:p w14:paraId="3A9CD044" w14:textId="77777777" w:rsidR="00310574" w:rsidRPr="009505F1" w:rsidRDefault="00310574" w:rsidP="00310574">
      <w:pPr>
        <w:pStyle w:val="BulletPointsPolicy"/>
      </w:pPr>
      <w:r w:rsidRPr="009505F1">
        <w:t xml:space="preserve">Families level of Child Care Subsidy will be determined by: </w:t>
      </w:r>
    </w:p>
    <w:p w14:paraId="2CEE905A" w14:textId="77777777" w:rsidR="00310574" w:rsidRPr="00310574" w:rsidRDefault="00310574" w:rsidP="00310574">
      <w:pPr>
        <w:pStyle w:val="ListParagraph"/>
        <w:numPr>
          <w:ilvl w:val="0"/>
          <w:numId w:val="35"/>
        </w:numPr>
        <w:spacing w:after="0" w:line="360" w:lineRule="auto"/>
        <w:rPr>
          <w:rFonts w:asciiTheme="majorHAnsi" w:hAnsiTheme="majorHAnsi" w:cs="Calibri"/>
        </w:rPr>
      </w:pPr>
      <w:r w:rsidRPr="00310574">
        <w:rPr>
          <w:rFonts w:asciiTheme="majorHAnsi" w:hAnsiTheme="majorHAnsi" w:cs="Calibri"/>
        </w:rPr>
        <w:t xml:space="preserve">Combined family income, </w:t>
      </w:r>
    </w:p>
    <w:p w14:paraId="5724A9C1" w14:textId="77777777" w:rsidR="00310574" w:rsidRPr="00310574" w:rsidRDefault="00310574" w:rsidP="00310574">
      <w:pPr>
        <w:pStyle w:val="ListParagraph"/>
        <w:numPr>
          <w:ilvl w:val="0"/>
          <w:numId w:val="35"/>
        </w:numPr>
        <w:spacing w:after="0" w:line="360" w:lineRule="auto"/>
        <w:rPr>
          <w:rFonts w:asciiTheme="majorHAnsi" w:hAnsiTheme="majorHAnsi" w:cs="Calibri"/>
        </w:rPr>
      </w:pPr>
      <w:r w:rsidRPr="00310574">
        <w:rPr>
          <w:rFonts w:asciiTheme="majorHAnsi" w:hAnsiTheme="majorHAnsi" w:cs="Calibri"/>
        </w:rPr>
        <w:t>Activity level of parents,</w:t>
      </w:r>
    </w:p>
    <w:p w14:paraId="349141E2" w14:textId="05A9BDC4" w:rsidR="00310574" w:rsidRPr="00310574" w:rsidRDefault="00310574" w:rsidP="00310574">
      <w:pPr>
        <w:pStyle w:val="ListParagraph"/>
        <w:numPr>
          <w:ilvl w:val="0"/>
          <w:numId w:val="35"/>
        </w:numPr>
        <w:spacing w:after="0" w:line="360" w:lineRule="auto"/>
        <w:rPr>
          <w:rFonts w:asciiTheme="majorHAnsi" w:hAnsiTheme="majorHAnsi" w:cs="Calibri"/>
        </w:rPr>
      </w:pPr>
      <w:r w:rsidRPr="00310574">
        <w:rPr>
          <w:rFonts w:asciiTheme="majorHAnsi" w:hAnsiTheme="majorHAnsi" w:cs="Calibri"/>
        </w:rPr>
        <w:t xml:space="preserve">Type of child care Service. </w:t>
      </w:r>
      <w:r w:rsidR="00290447">
        <w:rPr>
          <w:rFonts w:asciiTheme="majorHAnsi" w:hAnsiTheme="majorHAnsi" w:cs="Calibri"/>
        </w:rPr>
        <w:br/>
      </w:r>
    </w:p>
    <w:p w14:paraId="43993CBD" w14:textId="77777777" w:rsidR="00310574" w:rsidRPr="00310574" w:rsidRDefault="00310574" w:rsidP="00310574">
      <w:pPr>
        <w:pStyle w:val="BulletPointsPolicy"/>
        <w:rPr>
          <w:rFonts w:cstheme="majorHAnsi"/>
          <w:b/>
        </w:rPr>
      </w:pPr>
      <w:r w:rsidRPr="00310574">
        <w:rPr>
          <w:rFonts w:cstheme="majorHAnsi"/>
        </w:rPr>
        <w:t xml:space="preserve">Fees must be kept in advance of a child’s attendance.  </w:t>
      </w:r>
    </w:p>
    <w:p w14:paraId="68BBFCFE" w14:textId="51B29A98" w:rsidR="00310574" w:rsidRPr="00310574" w:rsidRDefault="00310574" w:rsidP="00310574">
      <w:pPr>
        <w:pStyle w:val="BulletPointsPolicy"/>
        <w:rPr>
          <w:rFonts w:cstheme="majorHAnsi"/>
          <w:b/>
        </w:rPr>
      </w:pPr>
      <w:r w:rsidRPr="00310574">
        <w:rPr>
          <w:rFonts w:cstheme="majorHAnsi"/>
        </w:rPr>
        <w:t xml:space="preserve">Fees are to be paid </w:t>
      </w:r>
      <w:r w:rsidR="00A820D9" w:rsidRPr="00E86699">
        <w:rPr>
          <w:rFonts w:cstheme="majorHAnsi"/>
        </w:rPr>
        <w:t xml:space="preserve">in accordance to the agreement set out in the debit success form filled in on enrolment, or through cash and bank transfer (if agreement is reached between management and </w:t>
      </w:r>
      <w:r w:rsidR="00E86699" w:rsidRPr="00E86699">
        <w:rPr>
          <w:rFonts w:cstheme="majorHAnsi"/>
        </w:rPr>
        <w:t>account holder)</w:t>
      </w:r>
      <w:r w:rsidRPr="00E86699">
        <w:rPr>
          <w:rFonts w:cstheme="majorHAnsi"/>
        </w:rPr>
        <w:t xml:space="preserve"> </w:t>
      </w:r>
    </w:p>
    <w:p w14:paraId="0EE5906A" w14:textId="77777777" w:rsidR="00310574" w:rsidRPr="00310574" w:rsidRDefault="00310574" w:rsidP="00310574">
      <w:pPr>
        <w:pStyle w:val="BulletPointsPolicy"/>
        <w:rPr>
          <w:rFonts w:cstheme="majorHAnsi"/>
          <w:b/>
        </w:rPr>
      </w:pPr>
      <w:r w:rsidRPr="00310574">
        <w:rPr>
          <w:rFonts w:cstheme="majorHAnsi"/>
        </w:rPr>
        <w:t>Fees are payable in advance for every day that a child is enrolled at the Service. This includes pupil free days, sick days, and family holidays but excludes periods when the Service is closed.</w:t>
      </w:r>
    </w:p>
    <w:p w14:paraId="17E1FAD1" w14:textId="429C5A50" w:rsidR="00310574" w:rsidRPr="00E86699" w:rsidRDefault="00310574" w:rsidP="00310574">
      <w:pPr>
        <w:pStyle w:val="BulletPointsPolicy"/>
        <w:rPr>
          <w:rFonts w:cstheme="majorHAnsi"/>
          <w:b/>
        </w:rPr>
      </w:pPr>
      <w:r w:rsidRPr="00310574">
        <w:rPr>
          <w:rFonts w:cstheme="majorHAnsi"/>
        </w:rPr>
        <w:lastRenderedPageBreak/>
        <w:t xml:space="preserve">Fees are charged at full days only (regardless of the actual attendance hours on any </w:t>
      </w:r>
      <w:proofErr w:type="gramStart"/>
      <w:r w:rsidRPr="00310574">
        <w:rPr>
          <w:rFonts w:cstheme="majorHAnsi"/>
        </w:rPr>
        <w:t>day)</w:t>
      </w:r>
      <w:r w:rsidR="00E86699">
        <w:rPr>
          <w:rFonts w:cstheme="majorHAnsi"/>
        </w:rPr>
        <w:t>(</w:t>
      </w:r>
      <w:proofErr w:type="gramEnd"/>
      <w:r w:rsidR="00E86699">
        <w:rPr>
          <w:rFonts w:cstheme="majorHAnsi"/>
        </w:rPr>
        <w:t>excluding Saturday’s which are charged at a half an hour rate for the time in care)</w:t>
      </w:r>
      <w:r w:rsidRPr="00310574">
        <w:rPr>
          <w:rFonts w:cstheme="majorHAnsi"/>
        </w:rPr>
        <w:t>.</w:t>
      </w:r>
    </w:p>
    <w:p w14:paraId="03417FC4" w14:textId="54861B94" w:rsidR="00E86699" w:rsidRPr="00310574" w:rsidRDefault="00E86699" w:rsidP="00310574">
      <w:pPr>
        <w:pStyle w:val="BulletPointsPolicy"/>
        <w:rPr>
          <w:rFonts w:cstheme="majorHAnsi"/>
          <w:b/>
        </w:rPr>
      </w:pPr>
      <w:r>
        <w:rPr>
          <w:rFonts w:cstheme="majorHAnsi"/>
        </w:rPr>
        <w:t>Families may choose to book casual and or permanent days.</w:t>
      </w:r>
    </w:p>
    <w:p w14:paraId="76668788" w14:textId="1A762CAB" w:rsidR="00290447" w:rsidRPr="00290447" w:rsidRDefault="00290447" w:rsidP="00E86699">
      <w:pPr>
        <w:pStyle w:val="BulletPointsPolicy"/>
        <w:numPr>
          <w:ilvl w:val="0"/>
          <w:numId w:val="0"/>
        </w:numPr>
        <w:rPr>
          <w:rFonts w:cstheme="majorHAnsi"/>
          <w:b/>
        </w:rPr>
      </w:pPr>
      <w:r>
        <w:rPr>
          <w:rFonts w:cstheme="majorHAnsi"/>
        </w:rPr>
        <w:br/>
      </w:r>
    </w:p>
    <w:p w14:paraId="2F49DCA9" w14:textId="77777777" w:rsidR="00E86699" w:rsidRDefault="00E86699" w:rsidP="00290447">
      <w:pPr>
        <w:pStyle w:val="BulletPointsPolicy"/>
        <w:numPr>
          <w:ilvl w:val="0"/>
          <w:numId w:val="0"/>
        </w:numPr>
        <w:spacing w:line="240" w:lineRule="auto"/>
        <w:rPr>
          <w:color w:val="34ABC1"/>
          <w:sz w:val="24"/>
          <w:szCs w:val="24"/>
        </w:rPr>
      </w:pPr>
    </w:p>
    <w:p w14:paraId="6E9BC983" w14:textId="77777777" w:rsidR="00E86699" w:rsidRDefault="00E86699" w:rsidP="00290447">
      <w:pPr>
        <w:pStyle w:val="BulletPointsPolicy"/>
        <w:numPr>
          <w:ilvl w:val="0"/>
          <w:numId w:val="0"/>
        </w:numPr>
        <w:spacing w:line="240" w:lineRule="auto"/>
        <w:rPr>
          <w:color w:val="34ABC1"/>
          <w:sz w:val="24"/>
          <w:szCs w:val="24"/>
        </w:rPr>
      </w:pPr>
    </w:p>
    <w:p w14:paraId="753C553B" w14:textId="3FA31650" w:rsidR="00290447" w:rsidRPr="00290447" w:rsidRDefault="00290447" w:rsidP="00290447">
      <w:pPr>
        <w:pStyle w:val="BulletPointsPolicy"/>
        <w:numPr>
          <w:ilvl w:val="0"/>
          <w:numId w:val="0"/>
        </w:numPr>
        <w:spacing w:line="240" w:lineRule="auto"/>
        <w:rPr>
          <w:rFonts w:cstheme="majorHAnsi"/>
        </w:rPr>
      </w:pPr>
      <w:r w:rsidRPr="00290447">
        <w:rPr>
          <w:color w:val="34ABC1"/>
          <w:sz w:val="24"/>
          <w:szCs w:val="24"/>
        </w:rPr>
        <w:t>Payment of fees</w:t>
      </w:r>
      <w:r w:rsidRPr="00290447">
        <w:rPr>
          <w:color w:val="34ABC1"/>
          <w:sz w:val="24"/>
          <w:szCs w:val="24"/>
        </w:rPr>
        <w:br/>
      </w:r>
    </w:p>
    <w:p w14:paraId="02F4BEA5" w14:textId="754C6C7D" w:rsidR="00290447" w:rsidRPr="00AE4798" w:rsidRDefault="00290447" w:rsidP="00290447">
      <w:pPr>
        <w:pStyle w:val="BulletPointsPolicy"/>
        <w:rPr>
          <w:b/>
        </w:rPr>
      </w:pPr>
      <w:r w:rsidRPr="00AE4798">
        <w:t xml:space="preserve">Fees are set up using </w:t>
      </w:r>
      <w:r w:rsidR="00E86699">
        <w:t>debit success</w:t>
      </w:r>
      <w:r>
        <w:t>.</w:t>
      </w:r>
    </w:p>
    <w:p w14:paraId="024261BD" w14:textId="2A6AD143" w:rsidR="00290447" w:rsidRPr="009505F1" w:rsidRDefault="00290447" w:rsidP="00290447">
      <w:pPr>
        <w:pStyle w:val="BulletPointsPolicy"/>
        <w:rPr>
          <w:b/>
        </w:rPr>
      </w:pPr>
      <w:r w:rsidRPr="00AE4798">
        <w:t xml:space="preserve">Families will be issued with a fee statement on a </w:t>
      </w:r>
      <w:r w:rsidR="00E86699">
        <w:t>weekly</w:t>
      </w:r>
      <w:r w:rsidRPr="00AE4798">
        <w:t xml:space="preserve"> basis in accordance with the fee </w:t>
      </w:r>
      <w:r w:rsidRPr="009505F1">
        <w:t xml:space="preserve">payment and Regulatory requirements. </w:t>
      </w:r>
    </w:p>
    <w:p w14:paraId="47AC4011" w14:textId="62AD0D6E" w:rsidR="00290447" w:rsidRPr="00290447" w:rsidRDefault="00290447" w:rsidP="00290447">
      <w:pPr>
        <w:pStyle w:val="BulletPointsPolicy"/>
        <w:rPr>
          <w:b/>
        </w:rPr>
      </w:pPr>
      <w:r w:rsidRPr="009505F1">
        <w:t xml:space="preserve">A dishonour fee </w:t>
      </w:r>
      <w:r w:rsidR="00E86699">
        <w:t>may</w:t>
      </w:r>
      <w:r w:rsidRPr="009505F1">
        <w:t xml:space="preserve"> apply for direct debit transactions where there are insufficient funds to cover the fees. </w:t>
      </w:r>
    </w:p>
    <w:p w14:paraId="39A5D2C7" w14:textId="77777777" w:rsidR="00290447" w:rsidRDefault="00290447" w:rsidP="00290447">
      <w:pPr>
        <w:pStyle w:val="BulletPointsPolicy"/>
        <w:numPr>
          <w:ilvl w:val="0"/>
          <w:numId w:val="0"/>
        </w:numPr>
      </w:pPr>
    </w:p>
    <w:p w14:paraId="7514D1CA" w14:textId="54DCE764" w:rsidR="00290447" w:rsidRPr="00AE4798" w:rsidRDefault="00290447" w:rsidP="00290447">
      <w:pPr>
        <w:pStyle w:val="Policysub-heading"/>
      </w:pPr>
      <w:r w:rsidRPr="00AE4798">
        <w:t xml:space="preserve">Financial Difficulties </w:t>
      </w:r>
    </w:p>
    <w:p w14:paraId="2F67031A" w14:textId="1DEECFEB" w:rsidR="00290447" w:rsidRPr="00290447" w:rsidRDefault="00290447" w:rsidP="00290447">
      <w:pPr>
        <w:pStyle w:val="BulletPointsPolicy"/>
        <w:numPr>
          <w:ilvl w:val="0"/>
          <w:numId w:val="0"/>
        </w:numPr>
        <w:spacing w:line="240" w:lineRule="auto"/>
        <w:ind w:left="360" w:hanging="360"/>
      </w:pPr>
    </w:p>
    <w:p w14:paraId="294E2AF1" w14:textId="77777777" w:rsidR="00290447" w:rsidRPr="00AE4798" w:rsidRDefault="00290447" w:rsidP="00290447">
      <w:pPr>
        <w:pStyle w:val="BulletPointsPolicy"/>
      </w:pPr>
      <w:r w:rsidRPr="00AE4798">
        <w:t>If a family is experiencing financial difficulties, a suitable payment plan may be arranged with authorisation of the approved provider</w:t>
      </w:r>
      <w:r>
        <w:t>.</w:t>
      </w:r>
      <w:r w:rsidRPr="00AE4798">
        <w:t xml:space="preserve"> </w:t>
      </w:r>
    </w:p>
    <w:p w14:paraId="3D36FFAF" w14:textId="77777777" w:rsidR="000B4280" w:rsidRPr="000B4280" w:rsidRDefault="000B4280" w:rsidP="000B4280">
      <w:pPr>
        <w:pStyle w:val="Policysub-heading"/>
        <w:rPr>
          <w:rFonts w:asciiTheme="minorHAnsi" w:hAnsiTheme="minorHAnsi" w:cstheme="minorHAnsi"/>
        </w:rPr>
      </w:pPr>
      <w:r w:rsidRPr="000B4280">
        <w:rPr>
          <w:rFonts w:asciiTheme="minorHAnsi" w:hAnsiTheme="minorHAnsi" w:cstheme="minorHAnsi"/>
        </w:rPr>
        <w:t>Absences from Service</w:t>
      </w:r>
    </w:p>
    <w:p w14:paraId="01FBADE0" w14:textId="77777777" w:rsidR="000B4280" w:rsidRPr="000B4280" w:rsidRDefault="000B4280" w:rsidP="000B4280">
      <w:pPr>
        <w:pStyle w:val="Policysub-heading"/>
        <w:rPr>
          <w:color w:val="000000" w:themeColor="text1"/>
          <w:sz w:val="22"/>
          <w:szCs w:val="21"/>
        </w:rPr>
      </w:pPr>
    </w:p>
    <w:p w14:paraId="2F4A20ED" w14:textId="77777777" w:rsidR="000B4280" w:rsidRPr="000B4280" w:rsidRDefault="000B4280" w:rsidP="000B4280">
      <w:pPr>
        <w:pStyle w:val="Policysub-heading"/>
        <w:numPr>
          <w:ilvl w:val="0"/>
          <w:numId w:val="42"/>
        </w:numPr>
        <w:spacing w:line="360" w:lineRule="auto"/>
        <w:ind w:left="360"/>
        <w:rPr>
          <w:color w:val="000000" w:themeColor="text1"/>
          <w:sz w:val="21"/>
          <w:szCs w:val="20"/>
        </w:rPr>
      </w:pPr>
      <w:r w:rsidRPr="000B4280">
        <w:rPr>
          <w:rFonts w:cstheme="majorHAnsi"/>
          <w:color w:val="000000" w:themeColor="text1"/>
          <w:sz w:val="22"/>
          <w:szCs w:val="21"/>
        </w:rPr>
        <w:t>Families are requested to contact the Service if their child is unable to attend a particular session</w:t>
      </w:r>
    </w:p>
    <w:p w14:paraId="49DDE091" w14:textId="77777777" w:rsidR="000B4280" w:rsidRPr="000B4280" w:rsidRDefault="000B4280" w:rsidP="000B4280">
      <w:pPr>
        <w:pStyle w:val="Policysub-heading"/>
        <w:numPr>
          <w:ilvl w:val="0"/>
          <w:numId w:val="42"/>
        </w:numPr>
        <w:spacing w:line="360" w:lineRule="auto"/>
        <w:ind w:left="360"/>
        <w:rPr>
          <w:color w:val="FF0000"/>
          <w:sz w:val="20"/>
          <w:szCs w:val="18"/>
        </w:rPr>
      </w:pPr>
      <w:r w:rsidRPr="000B4280">
        <w:rPr>
          <w:color w:val="FF0000"/>
          <w:sz w:val="22"/>
          <w:szCs w:val="21"/>
        </w:rPr>
        <w:t xml:space="preserve">Families must still pay the ‘gap’ fee to the Service if their child is unable to attend. [Fee charging practices are commercial decisions made by each childcare service and are not a matter regulated by the Family Assistance Law. </w:t>
      </w:r>
      <w:r w:rsidRPr="000B4280">
        <w:rPr>
          <w:color w:val="FF0000"/>
          <w:sz w:val="20"/>
          <w:szCs w:val="18"/>
        </w:rPr>
        <w:t>Source: Australian Government Department of Education, Skills and Employment]</w:t>
      </w:r>
    </w:p>
    <w:p w14:paraId="5FFCFB8E" w14:textId="77777777" w:rsidR="000B4280" w:rsidRPr="000B4280" w:rsidRDefault="000B4280" w:rsidP="000B4280">
      <w:pPr>
        <w:pStyle w:val="Policysub-heading"/>
        <w:numPr>
          <w:ilvl w:val="0"/>
          <w:numId w:val="42"/>
        </w:numPr>
        <w:spacing w:line="360" w:lineRule="auto"/>
        <w:ind w:left="360"/>
        <w:rPr>
          <w:color w:val="000000" w:themeColor="text1"/>
          <w:sz w:val="22"/>
          <w:szCs w:val="21"/>
        </w:rPr>
      </w:pPr>
      <w:r w:rsidRPr="000B4280">
        <w:rPr>
          <w:color w:val="000000" w:themeColor="text1"/>
          <w:sz w:val="22"/>
          <w:szCs w:val="21"/>
        </w:rPr>
        <w:t>Under the Child Care Subsidy families are allowed 42 absence days per child, per financial year and may be entitled to additional absence days in certain circumstances. (See Child Care Subsidy Handbook).</w:t>
      </w:r>
    </w:p>
    <w:p w14:paraId="074B7179" w14:textId="77777777" w:rsidR="000B4280" w:rsidRPr="000B4280" w:rsidRDefault="000B4280" w:rsidP="000B4280">
      <w:pPr>
        <w:pStyle w:val="Policysub-heading"/>
        <w:numPr>
          <w:ilvl w:val="0"/>
          <w:numId w:val="42"/>
        </w:numPr>
        <w:spacing w:line="360" w:lineRule="auto"/>
        <w:ind w:left="360"/>
        <w:rPr>
          <w:color w:val="000000" w:themeColor="text1"/>
          <w:sz w:val="22"/>
          <w:szCs w:val="21"/>
        </w:rPr>
      </w:pPr>
      <w:r w:rsidRPr="000B4280">
        <w:rPr>
          <w:color w:val="000000" w:themeColor="text1"/>
          <w:sz w:val="22"/>
          <w:szCs w:val="21"/>
        </w:rPr>
        <w:t xml:space="preserve">Allowable absences can be taken for any reason, including public holidays and when children are sick. </w:t>
      </w:r>
    </w:p>
    <w:p w14:paraId="744CDE3C" w14:textId="77777777" w:rsidR="000B4280" w:rsidRPr="000B4280" w:rsidRDefault="000B4280" w:rsidP="000B4280">
      <w:pPr>
        <w:pStyle w:val="Policysub-heading"/>
        <w:numPr>
          <w:ilvl w:val="0"/>
          <w:numId w:val="42"/>
        </w:numPr>
        <w:spacing w:line="360" w:lineRule="auto"/>
        <w:ind w:left="360"/>
        <w:rPr>
          <w:color w:val="000000" w:themeColor="text1"/>
          <w:sz w:val="22"/>
          <w:szCs w:val="21"/>
        </w:rPr>
      </w:pPr>
      <w:r w:rsidRPr="000B4280">
        <w:rPr>
          <w:color w:val="000000" w:themeColor="text1"/>
          <w:sz w:val="22"/>
          <w:szCs w:val="21"/>
        </w:rPr>
        <w:t>Records will be kept by the Service for each absence.</w:t>
      </w:r>
    </w:p>
    <w:p w14:paraId="43F6953D" w14:textId="77777777" w:rsidR="000B4280" w:rsidRPr="000B4280" w:rsidRDefault="000B4280" w:rsidP="000B4280">
      <w:pPr>
        <w:pStyle w:val="Policysub-heading"/>
        <w:numPr>
          <w:ilvl w:val="0"/>
          <w:numId w:val="42"/>
        </w:numPr>
        <w:spacing w:line="360" w:lineRule="auto"/>
        <w:ind w:left="360"/>
        <w:rPr>
          <w:color w:val="000000" w:themeColor="text1"/>
          <w:sz w:val="22"/>
          <w:szCs w:val="21"/>
        </w:rPr>
      </w:pPr>
      <w:r w:rsidRPr="000B4280">
        <w:rPr>
          <w:color w:val="000000" w:themeColor="text1"/>
          <w:sz w:val="22"/>
          <w:szCs w:val="21"/>
        </w:rPr>
        <w:t xml:space="preserve">Families can view their absence count through their Centrelink online account via </w:t>
      </w:r>
      <w:hyperlink r:id="rId8" w:history="1">
        <w:proofErr w:type="spellStart"/>
        <w:r w:rsidRPr="000B4280">
          <w:rPr>
            <w:rStyle w:val="Hyperlink"/>
            <w:sz w:val="22"/>
            <w:szCs w:val="21"/>
          </w:rPr>
          <w:t>myGov</w:t>
        </w:r>
        <w:proofErr w:type="spellEnd"/>
      </w:hyperlink>
      <w:r w:rsidRPr="000B4280">
        <w:rPr>
          <w:color w:val="000000" w:themeColor="text1"/>
          <w:sz w:val="22"/>
          <w:szCs w:val="21"/>
        </w:rPr>
        <w:t xml:space="preserve">. </w:t>
      </w:r>
    </w:p>
    <w:p w14:paraId="65C81F4C" w14:textId="77777777" w:rsidR="000B4280" w:rsidRPr="000B4280" w:rsidRDefault="000B4280" w:rsidP="000B4280">
      <w:pPr>
        <w:pStyle w:val="Policysub-heading"/>
        <w:numPr>
          <w:ilvl w:val="0"/>
          <w:numId w:val="42"/>
        </w:numPr>
        <w:spacing w:line="360" w:lineRule="auto"/>
        <w:ind w:left="360"/>
        <w:rPr>
          <w:color w:val="000000" w:themeColor="text1"/>
          <w:sz w:val="22"/>
          <w:szCs w:val="21"/>
        </w:rPr>
      </w:pPr>
      <w:r w:rsidRPr="000B4280">
        <w:rPr>
          <w:color w:val="000000" w:themeColor="text1"/>
          <w:sz w:val="22"/>
          <w:szCs w:val="21"/>
        </w:rPr>
        <w:t>In a period of local emergency, such as bushfire or pandemic, and our Service is temporarily shut down on public health advice, families may be provided with additional absence days as per Family Assistance Law legislation.</w:t>
      </w:r>
    </w:p>
    <w:p w14:paraId="6DAB2B2E" w14:textId="1A937768" w:rsidR="00290447" w:rsidRPr="009505F1" w:rsidRDefault="00290447" w:rsidP="00290447">
      <w:pPr>
        <w:pStyle w:val="BulletPointsPolicy"/>
        <w:numPr>
          <w:ilvl w:val="0"/>
          <w:numId w:val="0"/>
        </w:numPr>
        <w:ind w:left="360" w:hanging="360"/>
        <w:rPr>
          <w:b/>
        </w:rPr>
      </w:pPr>
    </w:p>
    <w:p w14:paraId="088AA18F" w14:textId="265892DF" w:rsidR="00290447" w:rsidRPr="00290447" w:rsidRDefault="00290447" w:rsidP="00290447">
      <w:pPr>
        <w:pStyle w:val="Policysub-heading"/>
        <w:spacing w:line="240" w:lineRule="auto"/>
        <w:rPr>
          <w:sz w:val="22"/>
        </w:rPr>
      </w:pPr>
      <w:r w:rsidRPr="00AE4798">
        <w:t xml:space="preserve">Failure to Pay </w:t>
      </w:r>
      <w:r>
        <w:br/>
      </w:r>
    </w:p>
    <w:p w14:paraId="4964A551" w14:textId="23E9316B" w:rsidR="00290447" w:rsidRPr="00AE4798" w:rsidRDefault="00290447" w:rsidP="00290447">
      <w:pPr>
        <w:pStyle w:val="BulletPointsPolicy"/>
      </w:pPr>
      <w:r w:rsidRPr="00AE4798">
        <w:lastRenderedPageBreak/>
        <w:t>If a family fails to pay the required fees on time, a reminder will be issued after one week and then again after two weeks</w:t>
      </w:r>
      <w:r>
        <w:t xml:space="preserve"> if</w:t>
      </w:r>
      <w:r w:rsidRPr="00AE4798">
        <w:t xml:space="preserve"> the fees are still outstanding. A child’s position will be terminated if payment has not been made after three weeks, </w:t>
      </w:r>
      <w:r>
        <w:t>for</w:t>
      </w:r>
      <w:r w:rsidRPr="00AE4798">
        <w:t xml:space="preserve"> which the family will receive a final letter terminating the child’s position. At this time the Service will initiate its debt collection proce</w:t>
      </w:r>
      <w:r>
        <w:t>ss</w:t>
      </w:r>
      <w:r w:rsidRPr="00AE4798">
        <w:t xml:space="preserve">, following privacy and conditional requirements. </w:t>
      </w:r>
    </w:p>
    <w:p w14:paraId="3527015F" w14:textId="77777777" w:rsidR="00290447" w:rsidRPr="00290447" w:rsidRDefault="00290447" w:rsidP="00290447">
      <w:pPr>
        <w:pStyle w:val="Policysub-heading"/>
      </w:pPr>
    </w:p>
    <w:p w14:paraId="346C7766" w14:textId="2F07306E" w:rsidR="00290447" w:rsidRPr="00290447" w:rsidRDefault="00290447" w:rsidP="00290447">
      <w:pPr>
        <w:pStyle w:val="Policysub-heading"/>
        <w:spacing w:line="240" w:lineRule="auto"/>
        <w:rPr>
          <w:sz w:val="22"/>
        </w:rPr>
      </w:pPr>
      <w:r w:rsidRPr="00290447">
        <w:t>Late Fees</w:t>
      </w:r>
      <w:r w:rsidRPr="00290447">
        <w:br/>
      </w:r>
    </w:p>
    <w:p w14:paraId="402D4E62" w14:textId="20E54616" w:rsidR="00290447" w:rsidRPr="00AE4798" w:rsidRDefault="00E86699" w:rsidP="00290447">
      <w:pPr>
        <w:pStyle w:val="BulletPointsPolicy"/>
      </w:pPr>
      <w:r>
        <w:t>Waratah All Year Care</w:t>
      </w:r>
      <w:r w:rsidR="00290447" w:rsidRPr="00AE4798">
        <w:t xml:space="preserve"> is not licensed or insured to have children on the premises after hours. This is a breach in the Education and Care Regulations. </w:t>
      </w:r>
    </w:p>
    <w:p w14:paraId="2524E6A3" w14:textId="7AF4A013" w:rsidR="00290447" w:rsidRPr="00AE4798" w:rsidRDefault="00290447" w:rsidP="00290447">
      <w:pPr>
        <w:pStyle w:val="BulletPointsPolicy"/>
      </w:pPr>
      <w:r w:rsidRPr="00AE4798">
        <w:t xml:space="preserve">It is unacceptable to pick children up late from </w:t>
      </w:r>
      <w:r w:rsidR="00E86699">
        <w:t>Waratah All Year Care</w:t>
      </w:r>
      <w:r w:rsidRPr="00AE4798">
        <w:t>. A late fee will apply where children are not picked up prior to closing time. Currently, a fee of $</w:t>
      </w:r>
      <w:r w:rsidRPr="00E86699">
        <w:t>1</w:t>
      </w:r>
      <w:r w:rsidR="00E86699" w:rsidRPr="00E86699">
        <w:t>0</w:t>
      </w:r>
      <w:r w:rsidRPr="00E86699">
        <w:t xml:space="preserve">.00 per 10 </w:t>
      </w:r>
      <w:r w:rsidRPr="00AE4798">
        <w:t xml:space="preserve">minutes block </w:t>
      </w:r>
      <w:r>
        <w:t>or</w:t>
      </w:r>
      <w:r w:rsidRPr="00AE4798">
        <w:t xml:space="preserve"> part thereof will </w:t>
      </w:r>
      <w:r>
        <w:t>be incurred by the family</w:t>
      </w:r>
      <w:r w:rsidRPr="00AE4798">
        <w:t xml:space="preserve">. </w:t>
      </w:r>
    </w:p>
    <w:p w14:paraId="13B0B74F" w14:textId="77777777" w:rsidR="00290447" w:rsidRPr="00AE4798" w:rsidRDefault="00290447" w:rsidP="00290447">
      <w:pPr>
        <w:pStyle w:val="BulletPointsPolicy"/>
      </w:pPr>
      <w:r w:rsidRPr="00AE4798">
        <w:t>A review of the child’s enrolment will occur where families are consistently late</w:t>
      </w:r>
      <w:r>
        <w:t xml:space="preserve"> with fee payment</w:t>
      </w:r>
      <w:r w:rsidRPr="00AE4798">
        <w:t>.</w:t>
      </w:r>
    </w:p>
    <w:p w14:paraId="7D751F19" w14:textId="77777777" w:rsidR="00290447" w:rsidRPr="00AE4798" w:rsidRDefault="00290447" w:rsidP="00290447">
      <w:pPr>
        <w:spacing w:after="0" w:line="276" w:lineRule="auto"/>
        <w:rPr>
          <w:rFonts w:asciiTheme="majorHAnsi" w:hAnsiTheme="majorHAnsi" w:cs="Calibri"/>
        </w:rPr>
      </w:pPr>
    </w:p>
    <w:p w14:paraId="4D293EC4" w14:textId="77777777" w:rsidR="00E86699" w:rsidRDefault="00E86699" w:rsidP="00290447">
      <w:pPr>
        <w:pStyle w:val="Policysub-heading"/>
        <w:spacing w:line="240" w:lineRule="auto"/>
      </w:pPr>
    </w:p>
    <w:p w14:paraId="091F6DDE" w14:textId="77777777" w:rsidR="00E86699" w:rsidRDefault="00E86699" w:rsidP="00290447">
      <w:pPr>
        <w:pStyle w:val="Policysub-heading"/>
        <w:spacing w:line="240" w:lineRule="auto"/>
      </w:pPr>
    </w:p>
    <w:p w14:paraId="1136F447" w14:textId="03B3367F" w:rsidR="00290447" w:rsidRPr="00290447" w:rsidRDefault="00290447" w:rsidP="00290447">
      <w:pPr>
        <w:pStyle w:val="Policysub-heading"/>
        <w:spacing w:line="240" w:lineRule="auto"/>
        <w:rPr>
          <w:sz w:val="22"/>
        </w:rPr>
      </w:pPr>
      <w:r w:rsidRPr="00AE4798">
        <w:t>Change of Fees</w:t>
      </w:r>
      <w:r>
        <w:br/>
      </w:r>
    </w:p>
    <w:p w14:paraId="0445F461" w14:textId="77777777" w:rsidR="00290447" w:rsidRPr="00AE4798" w:rsidRDefault="00290447" w:rsidP="00290447">
      <w:pPr>
        <w:pStyle w:val="BulletPointsPolicy"/>
      </w:pPr>
      <w:r w:rsidRPr="00AE4798">
        <w:t>Fees are subject to change at any time provided a minimum of four weeks written notice is given to all families</w:t>
      </w:r>
      <w:r>
        <w:t>.</w:t>
      </w:r>
      <w:r w:rsidRPr="00AE4798">
        <w:t xml:space="preserve"> </w:t>
      </w:r>
    </w:p>
    <w:p w14:paraId="1A042A68" w14:textId="7314C187" w:rsidR="00290447" w:rsidRDefault="00290447" w:rsidP="00290447">
      <w:pPr>
        <w:spacing w:after="0" w:line="276" w:lineRule="auto"/>
        <w:rPr>
          <w:rFonts w:asciiTheme="majorHAnsi" w:hAnsiTheme="majorHAnsi" w:cs="Calibri"/>
        </w:rPr>
      </w:pPr>
    </w:p>
    <w:p w14:paraId="7E515505" w14:textId="1137A01F" w:rsidR="00290447" w:rsidRDefault="00290447" w:rsidP="00290447">
      <w:pPr>
        <w:spacing w:after="0" w:line="276" w:lineRule="auto"/>
        <w:rPr>
          <w:rFonts w:asciiTheme="majorHAnsi" w:hAnsiTheme="majorHAnsi" w:cs="Calibri"/>
        </w:rPr>
      </w:pPr>
    </w:p>
    <w:p w14:paraId="1E06901E" w14:textId="7CD393FB" w:rsidR="00290447" w:rsidRDefault="00290447" w:rsidP="00290447">
      <w:pPr>
        <w:spacing w:after="0" w:line="276" w:lineRule="auto"/>
        <w:rPr>
          <w:rFonts w:asciiTheme="majorHAnsi" w:hAnsiTheme="majorHAnsi" w:cs="Calibri"/>
        </w:rPr>
      </w:pPr>
    </w:p>
    <w:p w14:paraId="7FD2347D" w14:textId="77777777" w:rsidR="00290447" w:rsidRPr="00AE4798" w:rsidRDefault="00290447" w:rsidP="00290447">
      <w:pPr>
        <w:spacing w:after="0" w:line="276" w:lineRule="auto"/>
        <w:rPr>
          <w:rFonts w:asciiTheme="majorHAnsi" w:hAnsiTheme="majorHAnsi" w:cs="Calibri"/>
        </w:rPr>
      </w:pPr>
    </w:p>
    <w:p w14:paraId="3E3493C6" w14:textId="7192E388" w:rsidR="00290447" w:rsidRPr="00290447" w:rsidRDefault="00290447" w:rsidP="00290447">
      <w:pPr>
        <w:pStyle w:val="Policysub-heading"/>
        <w:spacing w:line="240" w:lineRule="auto"/>
        <w:rPr>
          <w:sz w:val="22"/>
        </w:rPr>
      </w:pPr>
      <w:r w:rsidRPr="00AE4798">
        <w:t xml:space="preserve">Responsibility of Management </w:t>
      </w:r>
      <w:r>
        <w:br/>
      </w:r>
    </w:p>
    <w:p w14:paraId="594C1428" w14:textId="77777777" w:rsidR="00726E19" w:rsidRPr="00726E19" w:rsidRDefault="00726E19" w:rsidP="00726E19">
      <w:pPr>
        <w:pStyle w:val="BulletPointsPolicy"/>
        <w:numPr>
          <w:ilvl w:val="0"/>
          <w:numId w:val="0"/>
        </w:numPr>
        <w:tabs>
          <w:tab w:val="left" w:pos="720"/>
        </w:tabs>
        <w:ind w:left="360" w:hanging="360"/>
      </w:pPr>
      <w:r w:rsidRPr="00726E19">
        <w:t>The Nominated Supervisor is responsible for:</w:t>
      </w:r>
    </w:p>
    <w:p w14:paraId="56AE1CBE" w14:textId="77777777" w:rsidR="00726E19" w:rsidRPr="00726E19" w:rsidRDefault="00726E19" w:rsidP="00726E19">
      <w:pPr>
        <w:pStyle w:val="BulletPointsPolicy"/>
        <w:numPr>
          <w:ilvl w:val="0"/>
          <w:numId w:val="44"/>
        </w:numPr>
        <w:tabs>
          <w:tab w:val="left" w:pos="720"/>
        </w:tabs>
        <w:rPr>
          <w:bCs/>
        </w:rPr>
      </w:pPr>
      <w:r w:rsidRPr="00726E19">
        <w:rPr>
          <w:bCs/>
        </w:rPr>
        <w:t xml:space="preserve">ensuring all families are aware of our </w:t>
      </w:r>
      <w:r w:rsidRPr="00726E19">
        <w:rPr>
          <w:bCs/>
          <w:i/>
          <w:iCs/>
        </w:rPr>
        <w:t>Payment of Fees Policy</w:t>
      </w:r>
    </w:p>
    <w:p w14:paraId="70919989" w14:textId="77777777" w:rsidR="00726E19" w:rsidRPr="00726E19" w:rsidRDefault="00726E19" w:rsidP="00726E19">
      <w:pPr>
        <w:pStyle w:val="BulletPointsPolicy"/>
        <w:numPr>
          <w:ilvl w:val="0"/>
          <w:numId w:val="44"/>
        </w:numPr>
        <w:tabs>
          <w:tab w:val="left" w:pos="720"/>
        </w:tabs>
        <w:rPr>
          <w:bCs/>
        </w:rPr>
      </w:pPr>
      <w:r w:rsidRPr="00726E19">
        <w:rPr>
          <w:bCs/>
        </w:rPr>
        <w:t>ensuring enrolment information of includes the parent/guardian’s Customer Reference Number (CRN) and date of birth and the child’s CRN and date of birth</w:t>
      </w:r>
    </w:p>
    <w:p w14:paraId="1CBC07EB" w14:textId="77777777" w:rsidR="00726E19" w:rsidRPr="00726E19" w:rsidRDefault="00726E19" w:rsidP="00726E19">
      <w:pPr>
        <w:pStyle w:val="BulletPointsPolicy"/>
        <w:numPr>
          <w:ilvl w:val="0"/>
          <w:numId w:val="44"/>
        </w:numPr>
        <w:tabs>
          <w:tab w:val="left" w:pos="720"/>
        </w:tabs>
        <w:rPr>
          <w:b/>
        </w:rPr>
      </w:pPr>
      <w:r w:rsidRPr="00726E19">
        <w:t>providing families with regular statement of fees payable</w:t>
      </w:r>
    </w:p>
    <w:p w14:paraId="7488929E" w14:textId="77777777" w:rsidR="00726E19" w:rsidRPr="00726E19" w:rsidRDefault="00726E19" w:rsidP="00726E19">
      <w:pPr>
        <w:pStyle w:val="BulletPointsPolicy"/>
        <w:numPr>
          <w:ilvl w:val="0"/>
          <w:numId w:val="44"/>
        </w:numPr>
        <w:tabs>
          <w:tab w:val="left" w:pos="720"/>
        </w:tabs>
        <w:rPr>
          <w:b/>
        </w:rPr>
      </w:pPr>
      <w:r w:rsidRPr="00726E19">
        <w:t>notifying families of any overdue fees</w:t>
      </w:r>
    </w:p>
    <w:p w14:paraId="366DA5D8" w14:textId="77777777" w:rsidR="00726E19" w:rsidRPr="00726E19" w:rsidRDefault="00726E19" w:rsidP="00726E19">
      <w:pPr>
        <w:pStyle w:val="BulletPointsPolicy"/>
        <w:numPr>
          <w:ilvl w:val="0"/>
          <w:numId w:val="44"/>
        </w:numPr>
        <w:tabs>
          <w:tab w:val="left" w:pos="720"/>
        </w:tabs>
        <w:rPr>
          <w:b/>
        </w:rPr>
      </w:pPr>
      <w:r w:rsidRPr="00726E19">
        <w:t>providing families with reminder letters as required</w:t>
      </w:r>
    </w:p>
    <w:p w14:paraId="27801F6B" w14:textId="77777777" w:rsidR="00726E19" w:rsidRPr="00726E19" w:rsidRDefault="00726E19" w:rsidP="00726E19">
      <w:pPr>
        <w:pStyle w:val="BulletPointsPolicy"/>
        <w:numPr>
          <w:ilvl w:val="0"/>
          <w:numId w:val="44"/>
        </w:numPr>
        <w:tabs>
          <w:tab w:val="left" w:pos="720"/>
        </w:tabs>
        <w:rPr>
          <w:b/>
        </w:rPr>
      </w:pPr>
      <w:r w:rsidRPr="00726E19">
        <w:t>terminating enrolment of children should fees not be paid</w:t>
      </w:r>
    </w:p>
    <w:p w14:paraId="79421E70" w14:textId="77777777" w:rsidR="00726E19" w:rsidRPr="00726E19" w:rsidRDefault="00726E19" w:rsidP="00726E19">
      <w:pPr>
        <w:pStyle w:val="BulletPointsPolicy"/>
        <w:numPr>
          <w:ilvl w:val="0"/>
          <w:numId w:val="44"/>
        </w:numPr>
        <w:tabs>
          <w:tab w:val="left" w:pos="720"/>
        </w:tabs>
        <w:rPr>
          <w:b/>
        </w:rPr>
      </w:pPr>
      <w:r w:rsidRPr="00726E19">
        <w:t>discussing fee payment with families if required</w:t>
      </w:r>
    </w:p>
    <w:p w14:paraId="797AEB85" w14:textId="77777777" w:rsidR="00290447" w:rsidRPr="00AE4798" w:rsidRDefault="00290447" w:rsidP="00290447">
      <w:pPr>
        <w:spacing w:after="0" w:line="276" w:lineRule="auto"/>
        <w:ind w:left="780"/>
        <w:rPr>
          <w:rFonts w:asciiTheme="majorHAnsi" w:hAnsiTheme="majorHAnsi" w:cs="Calibri"/>
          <w:b/>
        </w:rPr>
      </w:pPr>
    </w:p>
    <w:p w14:paraId="22627CAE" w14:textId="77777777" w:rsidR="00290447" w:rsidRDefault="00290447" w:rsidP="00E5094F">
      <w:pPr>
        <w:spacing w:line="360" w:lineRule="auto"/>
        <w:rPr>
          <w:rFonts w:cs="Arial"/>
          <w:sz w:val="24"/>
          <w:szCs w:val="24"/>
          <w:lang w:val="en-US"/>
        </w:rPr>
      </w:pPr>
    </w:p>
    <w:p w14:paraId="35EF4D7E" w14:textId="32F4DBA4" w:rsidR="00E5094F" w:rsidRPr="003A2333" w:rsidRDefault="00E5094F" w:rsidP="00E5094F">
      <w:pPr>
        <w:spacing w:line="360" w:lineRule="auto"/>
        <w:rPr>
          <w:rFonts w:cs="Arial"/>
          <w:sz w:val="24"/>
          <w:szCs w:val="24"/>
          <w:lang w:val="en-US"/>
        </w:rPr>
      </w:pPr>
      <w:r>
        <w:rPr>
          <w:rFonts w:cs="Arial"/>
          <w:sz w:val="24"/>
          <w:szCs w:val="24"/>
          <w:lang w:val="en-US"/>
        </w:rPr>
        <w:lastRenderedPageBreak/>
        <w:t>Source</w:t>
      </w:r>
    </w:p>
    <w:p w14:paraId="0A7FD83F" w14:textId="77777777" w:rsidR="0083407C" w:rsidRDefault="0083407C" w:rsidP="0083407C">
      <w:pPr>
        <w:spacing w:line="276" w:lineRule="auto"/>
        <w:rPr>
          <w:rFonts w:asciiTheme="majorHAnsi" w:hAnsiTheme="majorHAnsi"/>
          <w:b/>
          <w:sz w:val="20"/>
          <w:szCs w:val="20"/>
        </w:rPr>
      </w:pPr>
      <w:bookmarkStart w:id="0" w:name="_Hlk535241907"/>
      <w:r>
        <w:rPr>
          <w:rFonts w:asciiTheme="majorHAnsi" w:hAnsiTheme="majorHAnsi"/>
          <w:sz w:val="20"/>
          <w:szCs w:val="20"/>
        </w:rPr>
        <w:t xml:space="preserve">Australian Children’s Education &amp; Care Quality Authority. (2014). </w:t>
      </w:r>
    </w:p>
    <w:p w14:paraId="6597A4FA" w14:textId="77777777" w:rsidR="0083407C" w:rsidRDefault="0083407C" w:rsidP="0083407C">
      <w:pPr>
        <w:rPr>
          <w:rFonts w:asciiTheme="majorHAnsi" w:hAnsiTheme="majorHAnsi" w:cstheme="majorHAnsi"/>
          <w:sz w:val="21"/>
          <w:szCs w:val="21"/>
        </w:rPr>
      </w:pPr>
      <w:r>
        <w:rPr>
          <w:rFonts w:asciiTheme="majorHAnsi" w:hAnsiTheme="majorHAnsi"/>
          <w:sz w:val="20"/>
        </w:rPr>
        <w:t xml:space="preserve">Australian Government Department of Education Child Care Provider Handbook </w:t>
      </w:r>
      <w:hyperlink r:id="rId9" w:history="1">
        <w:r>
          <w:rPr>
            <w:rStyle w:val="Hyperlink"/>
            <w:rFonts w:asciiTheme="majorHAnsi" w:hAnsiTheme="majorHAnsi" w:cstheme="majorHAnsi"/>
            <w:sz w:val="21"/>
            <w:szCs w:val="21"/>
          </w:rPr>
          <w:t>https://docs.education.gov.au/system/files/doc/other/child_care_provider_handbook_0.pdf</w:t>
        </w:r>
      </w:hyperlink>
    </w:p>
    <w:p w14:paraId="05A0FE97" w14:textId="77777777" w:rsidR="0083407C" w:rsidRDefault="0083407C" w:rsidP="0083407C">
      <w:r>
        <w:rPr>
          <w:rFonts w:asciiTheme="majorHAnsi" w:hAnsiTheme="majorHAnsi"/>
          <w:sz w:val="20"/>
        </w:rPr>
        <w:t xml:space="preserve">Australian Government Department of Education, Skills and Employment </w:t>
      </w:r>
      <w:r>
        <w:rPr>
          <w:rFonts w:asciiTheme="majorHAnsi" w:hAnsiTheme="majorHAnsi"/>
          <w:i/>
          <w:iCs/>
          <w:sz w:val="20"/>
        </w:rPr>
        <w:t xml:space="preserve">Early Childhood and Care </w:t>
      </w:r>
      <w:hyperlink r:id="rId10" w:history="1">
        <w:r>
          <w:rPr>
            <w:rStyle w:val="Hyperlink"/>
            <w:rFonts w:asciiTheme="majorHAnsi" w:hAnsiTheme="majorHAnsi" w:cstheme="majorHAnsi"/>
            <w:sz w:val="21"/>
            <w:szCs w:val="21"/>
          </w:rPr>
          <w:t>https://www.education.gov.au/early-childhood-and-child-care-0</w:t>
        </w:r>
      </w:hyperlink>
    </w:p>
    <w:p w14:paraId="0C538C53" w14:textId="77777777" w:rsidR="0083407C" w:rsidRPr="0083407C" w:rsidRDefault="0083407C" w:rsidP="0083407C">
      <w:pPr>
        <w:spacing w:line="276" w:lineRule="auto"/>
        <w:rPr>
          <w:rFonts w:asciiTheme="majorHAnsi" w:hAnsiTheme="majorHAnsi"/>
          <w:i/>
          <w:iCs/>
          <w:sz w:val="20"/>
        </w:rPr>
      </w:pPr>
      <w:r w:rsidRPr="0083407C">
        <w:rPr>
          <w:rFonts w:asciiTheme="majorHAnsi" w:hAnsiTheme="majorHAnsi"/>
          <w:sz w:val="20"/>
        </w:rPr>
        <w:t xml:space="preserve">Australian Government Department of Education, Skills and Employment </w:t>
      </w:r>
      <w:r w:rsidRPr="0083407C">
        <w:rPr>
          <w:rFonts w:asciiTheme="majorHAnsi" w:hAnsiTheme="majorHAnsi"/>
          <w:i/>
          <w:iCs/>
          <w:sz w:val="20"/>
        </w:rPr>
        <w:t xml:space="preserve">Information for </w:t>
      </w:r>
      <w:proofErr w:type="gramStart"/>
      <w:r w:rsidRPr="0083407C">
        <w:rPr>
          <w:rFonts w:asciiTheme="majorHAnsi" w:hAnsiTheme="majorHAnsi"/>
          <w:i/>
          <w:iCs/>
          <w:sz w:val="20"/>
        </w:rPr>
        <w:t>child care</w:t>
      </w:r>
      <w:proofErr w:type="gramEnd"/>
      <w:r w:rsidRPr="0083407C">
        <w:rPr>
          <w:rFonts w:asciiTheme="majorHAnsi" w:hAnsiTheme="majorHAnsi"/>
          <w:i/>
          <w:iCs/>
          <w:sz w:val="20"/>
        </w:rPr>
        <w:t xml:space="preserve"> providers when a period of local emergency occurs</w:t>
      </w:r>
    </w:p>
    <w:p w14:paraId="7C3AF8BB" w14:textId="77777777" w:rsidR="0083407C" w:rsidRPr="0083407C" w:rsidRDefault="0083407C" w:rsidP="0083407C">
      <w:pPr>
        <w:spacing w:line="276" w:lineRule="auto"/>
        <w:rPr>
          <w:rFonts w:asciiTheme="majorHAnsi" w:hAnsiTheme="majorHAnsi"/>
          <w:b/>
          <w:sz w:val="20"/>
        </w:rPr>
      </w:pPr>
      <w:r w:rsidRPr="0083407C">
        <w:rPr>
          <w:rFonts w:asciiTheme="majorHAnsi" w:hAnsiTheme="majorHAnsi"/>
          <w:sz w:val="20"/>
        </w:rPr>
        <w:t xml:space="preserve">Kearns, K. (2017). </w:t>
      </w:r>
      <w:r w:rsidRPr="0083407C">
        <w:rPr>
          <w:rFonts w:asciiTheme="majorHAnsi" w:hAnsiTheme="majorHAnsi"/>
          <w:i/>
          <w:sz w:val="20"/>
        </w:rPr>
        <w:t xml:space="preserve">The Business of Childcare </w:t>
      </w:r>
      <w:r w:rsidRPr="0083407C">
        <w:rPr>
          <w:rFonts w:asciiTheme="majorHAnsi" w:hAnsiTheme="majorHAnsi"/>
          <w:sz w:val="20"/>
        </w:rPr>
        <w:t>(4</w:t>
      </w:r>
      <w:r w:rsidRPr="0083407C">
        <w:rPr>
          <w:rFonts w:asciiTheme="majorHAnsi" w:hAnsiTheme="majorHAnsi"/>
          <w:sz w:val="20"/>
          <w:vertAlign w:val="superscript"/>
        </w:rPr>
        <w:t>th</w:t>
      </w:r>
      <w:r w:rsidRPr="0083407C">
        <w:rPr>
          <w:rFonts w:asciiTheme="majorHAnsi" w:hAnsiTheme="majorHAnsi"/>
          <w:sz w:val="20"/>
        </w:rPr>
        <w:t xml:space="preserve"> Ed.).</w:t>
      </w:r>
    </w:p>
    <w:p w14:paraId="7D65210E" w14:textId="77777777" w:rsidR="0083407C" w:rsidRPr="0083407C" w:rsidRDefault="0083407C" w:rsidP="0083407C">
      <w:pPr>
        <w:spacing w:line="276" w:lineRule="auto"/>
        <w:rPr>
          <w:rFonts w:asciiTheme="majorHAnsi" w:hAnsiTheme="majorHAnsi"/>
          <w:b/>
          <w:sz w:val="20"/>
          <w:szCs w:val="20"/>
        </w:rPr>
      </w:pPr>
      <w:r w:rsidRPr="0083407C">
        <w:rPr>
          <w:rFonts w:asciiTheme="majorHAnsi" w:hAnsiTheme="majorHAnsi"/>
          <w:sz w:val="20"/>
          <w:szCs w:val="20"/>
        </w:rPr>
        <w:t>Guide to the Education and Care Services National Law and the Education and Care Services National Regulations. (2017).</w:t>
      </w:r>
    </w:p>
    <w:p w14:paraId="2BB2117F" w14:textId="77777777" w:rsidR="0083407C" w:rsidRDefault="0083407C" w:rsidP="0083407C">
      <w:pPr>
        <w:spacing w:line="276" w:lineRule="auto"/>
        <w:rPr>
          <w:rFonts w:asciiTheme="majorHAnsi" w:hAnsiTheme="majorHAnsi"/>
          <w:b/>
          <w:sz w:val="20"/>
        </w:rPr>
      </w:pPr>
      <w:r w:rsidRPr="0083407C">
        <w:rPr>
          <w:rFonts w:asciiTheme="majorHAnsi" w:hAnsiTheme="majorHAnsi"/>
          <w:sz w:val="20"/>
        </w:rPr>
        <w:t>Guide to the National Quality Standard. (</w:t>
      </w:r>
      <w:r w:rsidRPr="0083407C">
        <w:rPr>
          <w:rFonts w:asciiTheme="majorHAnsi" w:hAnsiTheme="majorHAnsi"/>
          <w:strike/>
          <w:sz w:val="20"/>
        </w:rPr>
        <w:t xml:space="preserve">2017). </w:t>
      </w:r>
      <w:r w:rsidRPr="0083407C">
        <w:rPr>
          <w:rFonts w:asciiTheme="majorHAnsi" w:hAnsiTheme="majorHAnsi"/>
          <w:sz w:val="20"/>
        </w:rPr>
        <w:t>(2020)</w:t>
      </w:r>
    </w:p>
    <w:p w14:paraId="6955EEE7" w14:textId="77777777" w:rsidR="0083407C" w:rsidRDefault="0083407C" w:rsidP="0083407C">
      <w:pPr>
        <w:spacing w:line="276" w:lineRule="auto"/>
        <w:rPr>
          <w:rFonts w:asciiTheme="majorHAnsi" w:hAnsiTheme="majorHAnsi"/>
          <w:b/>
          <w:sz w:val="20"/>
        </w:rPr>
      </w:pPr>
      <w:r>
        <w:rPr>
          <w:rFonts w:asciiTheme="majorHAnsi" w:hAnsiTheme="majorHAnsi"/>
          <w:sz w:val="20"/>
        </w:rPr>
        <w:t>Revised National Quality Standard. (2018)</w:t>
      </w:r>
    </w:p>
    <w:p w14:paraId="200785BC" w14:textId="77777777" w:rsidR="001D1E2C" w:rsidRPr="00E5094F" w:rsidRDefault="001D1E2C" w:rsidP="00E5094F">
      <w:pPr>
        <w:spacing w:line="240" w:lineRule="auto"/>
        <w:rPr>
          <w:rFonts w:asciiTheme="majorHAnsi" w:hAnsiTheme="majorHAnsi"/>
          <w:b/>
          <w:sz w:val="18"/>
        </w:rPr>
      </w:pPr>
    </w:p>
    <w:bookmarkEnd w:id="0"/>
    <w:p w14:paraId="70E5AB73" w14:textId="77777777" w:rsidR="00E5094F" w:rsidRDefault="00E5094F" w:rsidP="005F1D6D">
      <w:pPr>
        <w:spacing w:line="240" w:lineRule="auto"/>
        <w:rPr>
          <w:rFonts w:asciiTheme="majorHAnsi" w:hAnsiTheme="majorHAnsi"/>
          <w:i/>
          <w:sz w:val="16"/>
          <w:szCs w:val="16"/>
        </w:rPr>
      </w:pPr>
    </w:p>
    <w:p w14:paraId="6894FC42" w14:textId="77777777"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954BF1"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7E6095C4" w:rsidR="00954BF1" w:rsidRPr="009C4400" w:rsidRDefault="0083407C" w:rsidP="00A81408">
            <w:pPr>
              <w:rPr>
                <w:rFonts w:ascii="Calibri Light" w:hAnsi="Calibri Light"/>
                <w:color w:val="000000" w:themeColor="text1"/>
                <w:sz w:val="24"/>
                <w:szCs w:val="24"/>
              </w:rPr>
            </w:pPr>
            <w:r>
              <w:rPr>
                <w:rFonts w:asciiTheme="majorHAnsi" w:hAnsiTheme="majorHAnsi"/>
                <w:sz w:val="24"/>
                <w:szCs w:val="24"/>
              </w:rPr>
              <w:t>January 2021</w:t>
            </w:r>
          </w:p>
        </w:tc>
        <w:tc>
          <w:tcPr>
            <w:tcW w:w="2693" w:type="dxa"/>
            <w:gridSpan w:val="2"/>
            <w:shd w:val="clear" w:color="auto" w:fill="D9D9D9" w:themeFill="background1" w:themeFillShade="D9"/>
            <w:vAlign w:val="center"/>
          </w:tcPr>
          <w:p w14:paraId="0EBB62B0"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38D162CB" w:rsidR="00954BF1" w:rsidRPr="00093E2D" w:rsidRDefault="0083407C" w:rsidP="00A81408">
            <w:pPr>
              <w:jc w:val="center"/>
              <w:rPr>
                <w:rFonts w:ascii="Calibri Light" w:hAnsi="Calibri Light"/>
                <w:color w:val="000000" w:themeColor="text1"/>
                <w:sz w:val="24"/>
                <w:szCs w:val="24"/>
              </w:rPr>
            </w:pPr>
            <w:r>
              <w:rPr>
                <w:rFonts w:asciiTheme="majorHAnsi" w:hAnsiTheme="majorHAnsi"/>
                <w:sz w:val="24"/>
                <w:szCs w:val="24"/>
              </w:rPr>
              <w:t>January 2022</w:t>
            </w:r>
          </w:p>
        </w:tc>
      </w:tr>
      <w:tr w:rsidR="00C137AA" w14:paraId="7B5C1340" w14:textId="77777777" w:rsidTr="00C137AA">
        <w:tc>
          <w:tcPr>
            <w:tcW w:w="2235" w:type="dxa"/>
            <w:vAlign w:val="center"/>
          </w:tcPr>
          <w:p w14:paraId="65029E2D" w14:textId="309C0A8E" w:rsidR="00C137AA" w:rsidRPr="00C137AA" w:rsidRDefault="00C137AA" w:rsidP="00A81408">
            <w:pPr>
              <w:jc w:val="center"/>
              <w:rPr>
                <w:rFonts w:ascii="Calibri Light" w:hAnsi="Calibri Light"/>
                <w:color w:val="000000" w:themeColor="text1"/>
                <w:sz w:val="24"/>
                <w:szCs w:val="24"/>
              </w:rPr>
            </w:pPr>
            <w:r w:rsidRPr="00C137AA">
              <w:rPr>
                <w:rFonts w:ascii="Calibri Light" w:hAnsi="Calibri Light"/>
                <w:color w:val="000000" w:themeColor="text1"/>
                <w:sz w:val="24"/>
                <w:szCs w:val="24"/>
              </w:rPr>
              <w:t>MODIFICATIONS</w:t>
            </w:r>
          </w:p>
        </w:tc>
        <w:tc>
          <w:tcPr>
            <w:tcW w:w="6751" w:type="dxa"/>
            <w:gridSpan w:val="4"/>
            <w:vAlign w:val="center"/>
          </w:tcPr>
          <w:p w14:paraId="28AE4A01" w14:textId="77777777" w:rsidR="002E04A4" w:rsidRPr="002E04A4" w:rsidRDefault="002E04A4" w:rsidP="002E04A4">
            <w:pPr>
              <w:pStyle w:val="ListParagraph"/>
              <w:numPr>
                <w:ilvl w:val="0"/>
                <w:numId w:val="41"/>
              </w:numPr>
              <w:spacing w:line="256" w:lineRule="auto"/>
              <w:rPr>
                <w:rFonts w:ascii="Calibri Light" w:hAnsi="Calibri Light"/>
              </w:rPr>
            </w:pPr>
            <w:r w:rsidRPr="002E04A4">
              <w:rPr>
                <w:rFonts w:ascii="Calibri Light" w:hAnsi="Calibri Light"/>
              </w:rPr>
              <w:t>Policy statement added</w:t>
            </w:r>
          </w:p>
          <w:p w14:paraId="4159C02F" w14:textId="77777777" w:rsidR="002E04A4" w:rsidRPr="002E04A4" w:rsidRDefault="002E04A4" w:rsidP="002E04A4">
            <w:pPr>
              <w:pStyle w:val="ListParagraph"/>
              <w:numPr>
                <w:ilvl w:val="0"/>
                <w:numId w:val="41"/>
              </w:numPr>
              <w:spacing w:line="256" w:lineRule="auto"/>
              <w:rPr>
                <w:rFonts w:ascii="Calibri Light" w:hAnsi="Calibri Light"/>
              </w:rPr>
            </w:pPr>
            <w:r w:rsidRPr="002E04A4">
              <w:rPr>
                <w:rFonts w:ascii="Calibri Light" w:hAnsi="Calibri Light"/>
              </w:rPr>
              <w:t>Implementation information added</w:t>
            </w:r>
          </w:p>
          <w:p w14:paraId="2B2EB147" w14:textId="77777777" w:rsidR="002E04A4" w:rsidRPr="002E04A4" w:rsidRDefault="002E04A4" w:rsidP="002E04A4">
            <w:pPr>
              <w:pStyle w:val="ListParagraph"/>
              <w:numPr>
                <w:ilvl w:val="0"/>
                <w:numId w:val="41"/>
              </w:numPr>
              <w:spacing w:line="256" w:lineRule="auto"/>
              <w:rPr>
                <w:rFonts w:ascii="Calibri Light" w:hAnsi="Calibri Light"/>
              </w:rPr>
            </w:pPr>
            <w:r w:rsidRPr="002E04A4">
              <w:rPr>
                <w:rFonts w:ascii="Calibri Light" w:hAnsi="Calibri Light"/>
              </w:rPr>
              <w:t>CCS section included</w:t>
            </w:r>
          </w:p>
          <w:p w14:paraId="3953C157" w14:textId="77777777" w:rsidR="002E04A4" w:rsidRPr="002E04A4" w:rsidRDefault="002E04A4" w:rsidP="002E04A4">
            <w:pPr>
              <w:pStyle w:val="ListParagraph"/>
              <w:numPr>
                <w:ilvl w:val="0"/>
                <w:numId w:val="41"/>
              </w:numPr>
              <w:spacing w:line="256" w:lineRule="auto"/>
              <w:rPr>
                <w:rFonts w:ascii="Calibri Light" w:hAnsi="Calibri Light"/>
              </w:rPr>
            </w:pPr>
            <w:r w:rsidRPr="002E04A4">
              <w:rPr>
                <w:rFonts w:ascii="Calibri Light" w:hAnsi="Calibri Light"/>
              </w:rPr>
              <w:t>Absences section added</w:t>
            </w:r>
          </w:p>
          <w:p w14:paraId="5D2D0A8F" w14:textId="77777777" w:rsidR="002E04A4" w:rsidRPr="002E04A4" w:rsidRDefault="002E04A4" w:rsidP="002E04A4">
            <w:pPr>
              <w:pStyle w:val="ListParagraph"/>
              <w:numPr>
                <w:ilvl w:val="0"/>
                <w:numId w:val="41"/>
              </w:numPr>
              <w:spacing w:line="256" w:lineRule="auto"/>
              <w:rPr>
                <w:rFonts w:ascii="Calibri Light" w:hAnsi="Calibri Light"/>
              </w:rPr>
            </w:pPr>
            <w:r w:rsidRPr="002E04A4">
              <w:rPr>
                <w:rFonts w:ascii="Calibri Light" w:hAnsi="Calibri Light"/>
              </w:rPr>
              <w:t>Responsibility for Management expanded</w:t>
            </w:r>
          </w:p>
          <w:p w14:paraId="23FAF5A1" w14:textId="77777777" w:rsidR="002E04A4" w:rsidRPr="002E04A4" w:rsidRDefault="002E04A4" w:rsidP="002E04A4">
            <w:pPr>
              <w:pStyle w:val="ListParagraph"/>
              <w:numPr>
                <w:ilvl w:val="0"/>
                <w:numId w:val="41"/>
              </w:numPr>
              <w:spacing w:line="256" w:lineRule="auto"/>
              <w:rPr>
                <w:rFonts w:ascii="Calibri Light" w:hAnsi="Calibri Light"/>
              </w:rPr>
            </w:pPr>
            <w:r w:rsidRPr="002E04A4">
              <w:rPr>
                <w:rFonts w:ascii="Calibri Light" w:hAnsi="Calibri Light"/>
              </w:rPr>
              <w:t>Resources and information section added</w:t>
            </w:r>
          </w:p>
          <w:p w14:paraId="307B0ADA" w14:textId="38B8E823" w:rsidR="00C137AA" w:rsidRPr="00C137AA" w:rsidRDefault="00C137AA" w:rsidP="002E04A4">
            <w:pPr>
              <w:pStyle w:val="ListParagraph"/>
              <w:numPr>
                <w:ilvl w:val="0"/>
                <w:numId w:val="41"/>
              </w:numPr>
              <w:rPr>
                <w:rFonts w:ascii="Calibri Light" w:hAnsi="Calibri Light"/>
              </w:rPr>
            </w:pPr>
          </w:p>
        </w:tc>
      </w:tr>
      <w:tr w:rsidR="00954BF1" w14:paraId="29CF33AA" w14:textId="77777777" w:rsidTr="00A81408">
        <w:trPr>
          <w:trHeight w:val="611"/>
        </w:trPr>
        <w:tc>
          <w:tcPr>
            <w:tcW w:w="2235" w:type="dxa"/>
            <w:shd w:val="clear" w:color="auto" w:fill="E7E6E6" w:themeFill="background2"/>
            <w:vAlign w:val="center"/>
          </w:tcPr>
          <w:p w14:paraId="0502FA0A" w14:textId="77777777" w:rsidR="00954BF1"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552B14" w:rsidRDefault="00954BF1" w:rsidP="00A81408">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552B14" w:rsidRDefault="00954BF1" w:rsidP="00A81408">
            <w:pPr>
              <w:rPr>
                <w:rFonts w:ascii="Calibri Light" w:hAnsi="Calibri Light"/>
              </w:rPr>
            </w:pPr>
            <w:r w:rsidRPr="009C4400">
              <w:rPr>
                <w:rFonts w:ascii="Calibri Light" w:hAnsi="Calibri Light"/>
                <w:color w:val="000000" w:themeColor="text1"/>
                <w:sz w:val="24"/>
                <w:szCs w:val="24"/>
              </w:rPr>
              <w:t>NEXT REVIEW DATE</w:t>
            </w:r>
          </w:p>
        </w:tc>
      </w:tr>
      <w:tr w:rsidR="00954BF1" w14:paraId="2521A769" w14:textId="77777777" w:rsidTr="00290447">
        <w:trPr>
          <w:trHeight w:val="924"/>
        </w:trPr>
        <w:tc>
          <w:tcPr>
            <w:tcW w:w="2235" w:type="dxa"/>
            <w:vAlign w:val="center"/>
          </w:tcPr>
          <w:p w14:paraId="0CFDCE50" w14:textId="59424DF9" w:rsidR="00954BF1" w:rsidRPr="009C4400" w:rsidRDefault="00E86699"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December 2018</w:t>
            </w:r>
          </w:p>
        </w:tc>
        <w:tc>
          <w:tcPr>
            <w:tcW w:w="4500" w:type="dxa"/>
            <w:gridSpan w:val="2"/>
            <w:vAlign w:val="center"/>
          </w:tcPr>
          <w:p w14:paraId="7FE08676" w14:textId="1AFE3536" w:rsidR="00954BF1" w:rsidRPr="00D4788B" w:rsidRDefault="00E86699" w:rsidP="00E5094F">
            <w:pPr>
              <w:pStyle w:val="ListParagraph"/>
              <w:numPr>
                <w:ilvl w:val="0"/>
                <w:numId w:val="10"/>
              </w:numPr>
              <w:rPr>
                <w:rFonts w:asciiTheme="majorHAnsi" w:hAnsiTheme="majorHAnsi"/>
                <w:lang w:val="en-US"/>
              </w:rPr>
            </w:pPr>
            <w:r>
              <w:rPr>
                <w:rFonts w:ascii="Calibri Light" w:hAnsi="Calibri Light"/>
              </w:rPr>
              <w:t>New policy created for new service</w:t>
            </w:r>
          </w:p>
        </w:tc>
        <w:tc>
          <w:tcPr>
            <w:tcW w:w="2251" w:type="dxa"/>
            <w:gridSpan w:val="2"/>
            <w:vAlign w:val="center"/>
          </w:tcPr>
          <w:p w14:paraId="63934DEF" w14:textId="06116F08" w:rsidR="00954BF1" w:rsidRPr="009C4400" w:rsidRDefault="00E86699" w:rsidP="00A81408">
            <w:pPr>
              <w:jc w:val="center"/>
              <w:rPr>
                <w:rFonts w:ascii="Calibri Light" w:hAnsi="Calibri Light"/>
                <w:color w:val="000000" w:themeColor="text1"/>
                <w:sz w:val="24"/>
                <w:szCs w:val="24"/>
              </w:rPr>
            </w:pPr>
            <w:r>
              <w:rPr>
                <w:rFonts w:asciiTheme="majorHAnsi" w:hAnsiTheme="majorHAnsi"/>
                <w:sz w:val="24"/>
                <w:szCs w:val="24"/>
              </w:rPr>
              <w:t>December 2019</w:t>
            </w:r>
          </w:p>
        </w:tc>
      </w:tr>
      <w:tr w:rsidR="0083407C" w14:paraId="5364D9AD" w14:textId="77777777" w:rsidTr="00290447">
        <w:trPr>
          <w:trHeight w:val="924"/>
        </w:trPr>
        <w:tc>
          <w:tcPr>
            <w:tcW w:w="2235" w:type="dxa"/>
            <w:vAlign w:val="center"/>
          </w:tcPr>
          <w:p w14:paraId="1A965CB4" w14:textId="6DDC5E22" w:rsidR="0083407C" w:rsidRDefault="0083407C"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December 2020</w:t>
            </w:r>
          </w:p>
        </w:tc>
        <w:tc>
          <w:tcPr>
            <w:tcW w:w="4500" w:type="dxa"/>
            <w:gridSpan w:val="2"/>
            <w:vAlign w:val="center"/>
          </w:tcPr>
          <w:p w14:paraId="5FE0D2B4" w14:textId="77777777" w:rsidR="0083407C" w:rsidRPr="00E86699" w:rsidRDefault="0083407C" w:rsidP="0083407C">
            <w:pPr>
              <w:pStyle w:val="ListParagraph"/>
              <w:numPr>
                <w:ilvl w:val="0"/>
                <w:numId w:val="10"/>
              </w:numPr>
              <w:rPr>
                <w:rFonts w:ascii="Calibri Light" w:hAnsi="Calibri Light"/>
              </w:rPr>
            </w:pPr>
            <w:r w:rsidRPr="00E86699">
              <w:rPr>
                <w:rFonts w:ascii="Calibri Light" w:hAnsi="Calibri Light"/>
              </w:rPr>
              <w:t>Inserted page breaks for appendices.</w:t>
            </w:r>
          </w:p>
          <w:p w14:paraId="4F00210D" w14:textId="77777777" w:rsidR="0083407C" w:rsidRPr="00E86699" w:rsidRDefault="0083407C" w:rsidP="0083407C">
            <w:pPr>
              <w:pStyle w:val="ListParagraph"/>
              <w:numPr>
                <w:ilvl w:val="0"/>
                <w:numId w:val="10"/>
              </w:numPr>
              <w:rPr>
                <w:rFonts w:ascii="Calibri Light" w:hAnsi="Calibri Light"/>
              </w:rPr>
            </w:pPr>
            <w:r w:rsidRPr="00E86699">
              <w:rPr>
                <w:rFonts w:ascii="Calibri Light" w:hAnsi="Calibri Light"/>
              </w:rPr>
              <w:t>Grammar, punctuation and spelling edited.</w:t>
            </w:r>
          </w:p>
          <w:p w14:paraId="5300CB82" w14:textId="77777777" w:rsidR="0083407C" w:rsidRPr="00E86699" w:rsidRDefault="0083407C" w:rsidP="0083407C">
            <w:pPr>
              <w:pStyle w:val="ListParagraph"/>
              <w:numPr>
                <w:ilvl w:val="0"/>
                <w:numId w:val="10"/>
              </w:numPr>
              <w:rPr>
                <w:rFonts w:ascii="Calibri Light" w:hAnsi="Calibri Light"/>
              </w:rPr>
            </w:pPr>
            <w:r w:rsidRPr="00E86699">
              <w:rPr>
                <w:rFonts w:ascii="Calibri Light" w:hAnsi="Calibri Light"/>
              </w:rPr>
              <w:t>Sources/references alphabetised.</w:t>
            </w:r>
          </w:p>
          <w:p w14:paraId="608C279F" w14:textId="77777777" w:rsidR="0083407C" w:rsidRPr="00E86699" w:rsidRDefault="0083407C" w:rsidP="0083407C">
            <w:pPr>
              <w:pStyle w:val="ListParagraph"/>
              <w:numPr>
                <w:ilvl w:val="0"/>
                <w:numId w:val="10"/>
              </w:numPr>
              <w:rPr>
                <w:rFonts w:ascii="Calibri Light" w:hAnsi="Calibri Light"/>
              </w:rPr>
            </w:pPr>
            <w:r w:rsidRPr="00E86699">
              <w:rPr>
                <w:rFonts w:ascii="Calibri Light" w:hAnsi="Calibri Light"/>
              </w:rPr>
              <w:t>Minor formatting for consistency throughout policy.</w:t>
            </w:r>
          </w:p>
          <w:p w14:paraId="156F3292" w14:textId="7BD8E017" w:rsidR="0083407C" w:rsidRDefault="0083407C" w:rsidP="0083407C">
            <w:pPr>
              <w:pStyle w:val="ListParagraph"/>
              <w:numPr>
                <w:ilvl w:val="0"/>
                <w:numId w:val="10"/>
              </w:numPr>
              <w:rPr>
                <w:rFonts w:ascii="Calibri Light" w:hAnsi="Calibri Light"/>
              </w:rPr>
            </w:pPr>
            <w:r w:rsidRPr="00E86699">
              <w:rPr>
                <w:rFonts w:ascii="Calibri Light" w:hAnsi="Calibri Light"/>
              </w:rPr>
              <w:t>‘Related policies’ alphabetised.</w:t>
            </w:r>
          </w:p>
        </w:tc>
        <w:tc>
          <w:tcPr>
            <w:tcW w:w="2251" w:type="dxa"/>
            <w:gridSpan w:val="2"/>
            <w:vAlign w:val="center"/>
          </w:tcPr>
          <w:p w14:paraId="65F3C1F6" w14:textId="5E368A8D" w:rsidR="0083407C" w:rsidRDefault="0083407C" w:rsidP="00A81408">
            <w:pPr>
              <w:jc w:val="center"/>
              <w:rPr>
                <w:rFonts w:asciiTheme="majorHAnsi" w:hAnsiTheme="majorHAnsi"/>
                <w:sz w:val="24"/>
                <w:szCs w:val="24"/>
              </w:rPr>
            </w:pPr>
            <w:r>
              <w:rPr>
                <w:rFonts w:asciiTheme="majorHAnsi" w:hAnsiTheme="majorHAnsi"/>
                <w:sz w:val="24"/>
                <w:szCs w:val="24"/>
              </w:rPr>
              <w:t>December 2021</w:t>
            </w:r>
          </w:p>
        </w:tc>
      </w:tr>
    </w:tbl>
    <w:p w14:paraId="77E539D2" w14:textId="11DC31EC" w:rsidR="00D656E1" w:rsidRDefault="00D656E1" w:rsidP="00B72B18">
      <w:pPr>
        <w:spacing w:line="360" w:lineRule="auto"/>
        <w:rPr>
          <w:rFonts w:asciiTheme="majorHAnsi" w:hAnsiTheme="majorHAnsi"/>
        </w:rPr>
      </w:pPr>
    </w:p>
    <w:p w14:paraId="4773E7BA" w14:textId="77777777" w:rsidR="00C137AA" w:rsidRDefault="00C137AA" w:rsidP="00B72B18">
      <w:pPr>
        <w:spacing w:line="360" w:lineRule="auto"/>
        <w:rPr>
          <w:rFonts w:asciiTheme="majorHAnsi" w:hAnsiTheme="majorHAnsi"/>
        </w:rPr>
      </w:pPr>
    </w:p>
    <w:p w14:paraId="174960C0" w14:textId="77777777" w:rsidR="009B1864" w:rsidRPr="009B1864" w:rsidRDefault="009B1864" w:rsidP="00B72B18">
      <w:pPr>
        <w:spacing w:line="360" w:lineRule="auto"/>
        <w:rPr>
          <w:rFonts w:asciiTheme="majorHAnsi" w:hAnsiTheme="majorHAnsi" w:cs="Times New Roman (Body CS)"/>
          <w:sz w:val="40"/>
          <w:szCs w:val="40"/>
        </w:rPr>
      </w:pPr>
    </w:p>
    <w:sectPr w:rsidR="009B1864" w:rsidRPr="009B1864" w:rsidSect="00F852F9">
      <w:headerReference w:type="default" r:id="rId11"/>
      <w:footerReference w:type="default" r:id="rId12"/>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792E4" w14:textId="77777777" w:rsidR="00594636" w:rsidRDefault="00594636" w:rsidP="0021486F">
      <w:pPr>
        <w:spacing w:after="0" w:line="240" w:lineRule="auto"/>
      </w:pPr>
      <w:r>
        <w:separator/>
      </w:r>
    </w:p>
  </w:endnote>
  <w:endnote w:type="continuationSeparator" w:id="0">
    <w:p w14:paraId="0BC5AC1F" w14:textId="77777777" w:rsidR="00594636" w:rsidRDefault="00594636"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EC6F1" w14:textId="0E8C043B" w:rsidR="001C66CA" w:rsidRDefault="001C66CA" w:rsidP="00F83C27">
    <w:pPr>
      <w:pStyle w:val="Footer"/>
      <w:spacing w:before="240"/>
    </w:pPr>
    <w:r w:rsidRPr="00BF758C">
      <w:rPr>
        <w:noProof/>
        <w:color w:val="22A1BB"/>
        <w:lang w:val="en-US"/>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BF758C">
      <w:rPr>
        <w:rFonts w:ascii="Calibri Light" w:hAnsi="Calibri Light"/>
        <w:color w:val="22A1BB"/>
        <w:sz w:val="18"/>
        <w:szCs w:val="18"/>
      </w:rPr>
      <w:t>Childcare Centre Desktop ©201</w:t>
    </w:r>
    <w:r>
      <w:rPr>
        <w:rFonts w:ascii="Calibri Light" w:hAnsi="Calibri Light"/>
        <w:color w:val="22A1BB"/>
        <w:sz w:val="18"/>
        <w:szCs w:val="18"/>
      </w:rPr>
      <w:t>9</w:t>
    </w:r>
    <w:r w:rsidRPr="009059BD">
      <w:rPr>
        <w:rFonts w:ascii="Calibri Light" w:hAnsi="Calibri Light"/>
        <w:color w:val="EEAB2E"/>
        <w:sz w:val="18"/>
        <w:szCs w:val="18"/>
      </w:rPr>
      <w:t xml:space="preserve"> </w:t>
    </w:r>
    <w:r>
      <w:rPr>
        <w:rFonts w:ascii="Calibri Light" w:hAnsi="Calibri Light"/>
        <w:sz w:val="18"/>
        <w:szCs w:val="18"/>
      </w:rPr>
      <w:t>–</w:t>
    </w:r>
    <w:r>
      <w:rPr>
        <w:rFonts w:ascii="Calibri Light" w:hAnsi="Calibri Light"/>
        <w:sz w:val="18"/>
        <w:szCs w:val="18"/>
        <w:lang w:val="en-US"/>
      </w:rPr>
      <w:t xml:space="preserve"> </w:t>
    </w:r>
    <w:r w:rsidR="00290447">
      <w:rPr>
        <w:rFonts w:ascii="Calibri Light" w:hAnsi="Calibri Light"/>
        <w:sz w:val="18"/>
        <w:szCs w:val="18"/>
        <w:lang w:val="en-US"/>
      </w:rPr>
      <w:t>Payment of Fee</w:t>
    </w:r>
    <w:r w:rsidR="00F85785">
      <w:rPr>
        <w:rFonts w:ascii="Calibri Light" w:hAnsi="Calibri Light"/>
        <w:sz w:val="18"/>
        <w:szCs w:val="18"/>
        <w:lang w:val="en-US"/>
      </w:rPr>
      <w:t>s</w:t>
    </w:r>
    <w:r w:rsidR="00290447">
      <w:rPr>
        <w:rFonts w:ascii="Calibri Light" w:hAnsi="Calibri Light"/>
        <w:sz w:val="18"/>
        <w:szCs w:val="18"/>
        <w:lang w:val="en-US"/>
      </w:rPr>
      <w:t xml:space="preserv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0A426" w14:textId="77777777" w:rsidR="00594636" w:rsidRDefault="00594636" w:rsidP="0021486F">
      <w:pPr>
        <w:spacing w:after="0" w:line="240" w:lineRule="auto"/>
      </w:pPr>
      <w:r>
        <w:separator/>
      </w:r>
    </w:p>
  </w:footnote>
  <w:footnote w:type="continuationSeparator" w:id="0">
    <w:p w14:paraId="5B606F51" w14:textId="77777777" w:rsidR="00594636" w:rsidRDefault="00594636"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05E5" w14:textId="3953938A" w:rsidR="001C66CA" w:rsidRDefault="001C66CA">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358A299">
              <wp:simplePos x="0" y="0"/>
              <wp:positionH relativeFrom="column">
                <wp:posOffset>-914400</wp:posOffset>
              </wp:positionH>
              <wp:positionV relativeFrom="paragraph">
                <wp:posOffset>-266700</wp:posOffset>
              </wp:positionV>
              <wp:extent cx="5509259" cy="359160"/>
              <wp:effectExtent l="0" t="0" r="3175" b="0"/>
              <wp:wrapThrough wrapText="bothSides">
                <wp:wrapPolygon edited="0">
                  <wp:start x="0" y="0"/>
                  <wp:lineTo x="0" y="19880"/>
                  <wp:lineTo x="21513" y="19880"/>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22A1BB"/>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" fillcolor="#22a1bb"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" fillcolor="#333c44"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r>
      <w:rPr>
        <w:noProof/>
        <w:sz w:val="48"/>
        <w:szCs w:val="44"/>
        <w:lang w:val="en-US"/>
      </w:rPr>
      <mc:AlternateContent>
        <mc:Choice Requires="wps">
          <w:drawing>
            <wp:anchor distT="0" distB="0" distL="114300" distR="114300" simplePos="0" relativeHeight="251661312" behindDoc="0" locked="0" layoutInCell="1" allowOverlap="1" wp14:anchorId="1C21A333" wp14:editId="517E9EF6">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4840" w14:textId="2240ABC3" w:rsidR="001C66CA" w:rsidRPr="004E7272" w:rsidRDefault="00C312AD" w:rsidP="00A07751">
                          <w:pPr>
                            <w:rPr>
                              <w:rFonts w:ascii="Calibri Light" w:hAnsi="Calibri Light"/>
                              <w:color w:val="FFFFFF" w:themeColor="background1"/>
                            </w:rPr>
                          </w:pPr>
                          <w:r>
                            <w:rPr>
                              <w:rFonts w:ascii="Calibri Light" w:hAnsi="Calibri Light"/>
                              <w:color w:val="FFFFFF" w:themeColor="background1"/>
                            </w:rPr>
                            <w:t>Waratah All Year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21A333" id="Text Box 4" o:spid="_x0000_s1028"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" filled="f" stroked="f">
              <v:textbox>
                <w:txbxContent>
                  <w:p w14:paraId="32AB4840" w14:textId="2240ABC3" w:rsidR="001C66CA" w:rsidRPr="004E7272" w:rsidRDefault="00C312AD" w:rsidP="00A07751">
                    <w:pPr>
                      <w:rPr>
                        <w:rFonts w:ascii="Calibri Light" w:hAnsi="Calibri Light"/>
                        <w:color w:val="FFFFFF" w:themeColor="background1"/>
                      </w:rPr>
                    </w:pPr>
                    <w:r>
                      <w:rPr>
                        <w:rFonts w:ascii="Calibri Light" w:hAnsi="Calibri Light"/>
                        <w:color w:val="FFFFFF" w:themeColor="background1"/>
                      </w:rPr>
                      <w:t>Waratah All Year Care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0B36468"/>
    <w:multiLevelType w:val="hybridMultilevel"/>
    <w:tmpl w:val="8CBEB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4C74B5"/>
    <w:multiLevelType w:val="multilevel"/>
    <w:tmpl w:val="34CE41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4F65923"/>
    <w:multiLevelType w:val="hybridMultilevel"/>
    <w:tmpl w:val="D7B6D8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5AE5BB8"/>
    <w:multiLevelType w:val="hybridMultilevel"/>
    <w:tmpl w:val="B3EC0C74"/>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8C6926"/>
    <w:multiLevelType w:val="hybridMultilevel"/>
    <w:tmpl w:val="AB0A3FF2"/>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8" w15:restartNumberingAfterBreak="0">
    <w:nsid w:val="19132D81"/>
    <w:multiLevelType w:val="hybridMultilevel"/>
    <w:tmpl w:val="F5A4563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D23886"/>
    <w:multiLevelType w:val="hybridMultilevel"/>
    <w:tmpl w:val="6B8AF2A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BC3382"/>
    <w:multiLevelType w:val="hybridMultilevel"/>
    <w:tmpl w:val="908E40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5A6538"/>
    <w:multiLevelType w:val="hybridMultilevel"/>
    <w:tmpl w:val="E354A34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7F0A94"/>
    <w:multiLevelType w:val="hybridMultilevel"/>
    <w:tmpl w:val="F674431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1FAA04FE"/>
    <w:multiLevelType w:val="hybridMultilevel"/>
    <w:tmpl w:val="26E6956E"/>
    <w:lvl w:ilvl="0" w:tplc="0066C4EA">
      <w:start w:val="1"/>
      <w:numFmt w:val="bullet"/>
      <w:pStyle w:val="BulletPointsPolicy"/>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E95D7B"/>
    <w:multiLevelType w:val="hybridMultilevel"/>
    <w:tmpl w:val="E262666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20059"/>
    <w:multiLevelType w:val="hybridMultilevel"/>
    <w:tmpl w:val="08FAE11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2EAD506D"/>
    <w:multiLevelType w:val="hybridMultilevel"/>
    <w:tmpl w:val="DBE68268"/>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FE1138F"/>
    <w:multiLevelType w:val="hybridMultilevel"/>
    <w:tmpl w:val="FD020332"/>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B80FE3"/>
    <w:multiLevelType w:val="hybridMultilevel"/>
    <w:tmpl w:val="4A90CAB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1D60CB5"/>
    <w:multiLevelType w:val="hybridMultilevel"/>
    <w:tmpl w:val="D5D25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F57C68"/>
    <w:multiLevelType w:val="hybridMultilevel"/>
    <w:tmpl w:val="FD1A962E"/>
    <w:lvl w:ilvl="0" w:tplc="0C090001">
      <w:start w:val="1"/>
      <w:numFmt w:val="bullet"/>
      <w:lvlText w:val=""/>
      <w:lvlJc w:val="left"/>
      <w:pPr>
        <w:ind w:left="600" w:hanging="360"/>
      </w:pPr>
      <w:rPr>
        <w:rFonts w:ascii="Symbol" w:hAnsi="Symbol" w:hint="default"/>
      </w:rPr>
    </w:lvl>
    <w:lvl w:ilvl="1" w:tplc="0C090003" w:tentative="1">
      <w:start w:val="1"/>
      <w:numFmt w:val="bullet"/>
      <w:lvlText w:val="o"/>
      <w:lvlJc w:val="left"/>
      <w:pPr>
        <w:ind w:left="1320" w:hanging="360"/>
      </w:pPr>
      <w:rPr>
        <w:rFonts w:ascii="Courier New" w:hAnsi="Courier New" w:cs="Courier New" w:hint="default"/>
      </w:rPr>
    </w:lvl>
    <w:lvl w:ilvl="2" w:tplc="0C090005" w:tentative="1">
      <w:start w:val="1"/>
      <w:numFmt w:val="bullet"/>
      <w:lvlText w:val=""/>
      <w:lvlJc w:val="left"/>
      <w:pPr>
        <w:ind w:left="2040" w:hanging="360"/>
      </w:pPr>
      <w:rPr>
        <w:rFonts w:ascii="Wingdings" w:hAnsi="Wingdings" w:hint="default"/>
      </w:rPr>
    </w:lvl>
    <w:lvl w:ilvl="3" w:tplc="0C090001" w:tentative="1">
      <w:start w:val="1"/>
      <w:numFmt w:val="bullet"/>
      <w:lvlText w:val=""/>
      <w:lvlJc w:val="left"/>
      <w:pPr>
        <w:ind w:left="2760" w:hanging="360"/>
      </w:pPr>
      <w:rPr>
        <w:rFonts w:ascii="Symbol" w:hAnsi="Symbol" w:hint="default"/>
      </w:rPr>
    </w:lvl>
    <w:lvl w:ilvl="4" w:tplc="0C090003" w:tentative="1">
      <w:start w:val="1"/>
      <w:numFmt w:val="bullet"/>
      <w:lvlText w:val="o"/>
      <w:lvlJc w:val="left"/>
      <w:pPr>
        <w:ind w:left="3480" w:hanging="360"/>
      </w:pPr>
      <w:rPr>
        <w:rFonts w:ascii="Courier New" w:hAnsi="Courier New" w:cs="Courier New" w:hint="default"/>
      </w:rPr>
    </w:lvl>
    <w:lvl w:ilvl="5" w:tplc="0C090005" w:tentative="1">
      <w:start w:val="1"/>
      <w:numFmt w:val="bullet"/>
      <w:lvlText w:val=""/>
      <w:lvlJc w:val="left"/>
      <w:pPr>
        <w:ind w:left="4200" w:hanging="360"/>
      </w:pPr>
      <w:rPr>
        <w:rFonts w:ascii="Wingdings" w:hAnsi="Wingdings" w:hint="default"/>
      </w:rPr>
    </w:lvl>
    <w:lvl w:ilvl="6" w:tplc="0C090001" w:tentative="1">
      <w:start w:val="1"/>
      <w:numFmt w:val="bullet"/>
      <w:lvlText w:val=""/>
      <w:lvlJc w:val="left"/>
      <w:pPr>
        <w:ind w:left="4920" w:hanging="360"/>
      </w:pPr>
      <w:rPr>
        <w:rFonts w:ascii="Symbol" w:hAnsi="Symbol" w:hint="default"/>
      </w:rPr>
    </w:lvl>
    <w:lvl w:ilvl="7" w:tplc="0C090003" w:tentative="1">
      <w:start w:val="1"/>
      <w:numFmt w:val="bullet"/>
      <w:lvlText w:val="o"/>
      <w:lvlJc w:val="left"/>
      <w:pPr>
        <w:ind w:left="5640" w:hanging="360"/>
      </w:pPr>
      <w:rPr>
        <w:rFonts w:ascii="Courier New" w:hAnsi="Courier New" w:cs="Courier New" w:hint="default"/>
      </w:rPr>
    </w:lvl>
    <w:lvl w:ilvl="8" w:tplc="0C090005" w:tentative="1">
      <w:start w:val="1"/>
      <w:numFmt w:val="bullet"/>
      <w:lvlText w:val=""/>
      <w:lvlJc w:val="left"/>
      <w:pPr>
        <w:ind w:left="6360" w:hanging="360"/>
      </w:pPr>
      <w:rPr>
        <w:rFonts w:ascii="Wingdings" w:hAnsi="Wingdings" w:hint="default"/>
      </w:rPr>
    </w:lvl>
  </w:abstractNum>
  <w:abstractNum w:abstractNumId="21" w15:restartNumberingAfterBreak="0">
    <w:nsid w:val="4307175A"/>
    <w:multiLevelType w:val="hybridMultilevel"/>
    <w:tmpl w:val="0D06213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Arial"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Arial"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Arial" w:hint="default"/>
      </w:rPr>
    </w:lvl>
    <w:lvl w:ilvl="8" w:tplc="0C090005" w:tentative="1">
      <w:start w:val="1"/>
      <w:numFmt w:val="bullet"/>
      <w:lvlText w:val=""/>
      <w:lvlJc w:val="left"/>
      <w:pPr>
        <w:ind w:left="6546" w:hanging="360"/>
      </w:pPr>
      <w:rPr>
        <w:rFonts w:ascii="Wingdings" w:hAnsi="Wingdings" w:hint="default"/>
      </w:rPr>
    </w:lvl>
  </w:abstractNum>
  <w:abstractNum w:abstractNumId="22" w15:restartNumberingAfterBreak="0">
    <w:nsid w:val="43B250C4"/>
    <w:multiLevelType w:val="hybridMultilevel"/>
    <w:tmpl w:val="3CF6F4BC"/>
    <w:lvl w:ilvl="0" w:tplc="085C2086">
      <w:start w:val="1"/>
      <w:numFmt w:val="decimal"/>
      <w:lvlText w:val="%1."/>
      <w:lvlJc w:val="left"/>
      <w:pPr>
        <w:ind w:left="-39" w:hanging="360"/>
      </w:pPr>
      <w:rPr>
        <w:rFonts w:hint="default"/>
      </w:rPr>
    </w:lvl>
    <w:lvl w:ilvl="1" w:tplc="04090019" w:tentative="1">
      <w:start w:val="1"/>
      <w:numFmt w:val="lowerLetter"/>
      <w:lvlText w:val="%2."/>
      <w:lvlJc w:val="left"/>
      <w:pPr>
        <w:ind w:left="681" w:hanging="360"/>
      </w:pPr>
    </w:lvl>
    <w:lvl w:ilvl="2" w:tplc="0409001B" w:tentative="1">
      <w:start w:val="1"/>
      <w:numFmt w:val="lowerRoman"/>
      <w:lvlText w:val="%3."/>
      <w:lvlJc w:val="right"/>
      <w:pPr>
        <w:ind w:left="1401" w:hanging="180"/>
      </w:pPr>
    </w:lvl>
    <w:lvl w:ilvl="3" w:tplc="0409000F" w:tentative="1">
      <w:start w:val="1"/>
      <w:numFmt w:val="decimal"/>
      <w:lvlText w:val="%4."/>
      <w:lvlJc w:val="left"/>
      <w:pPr>
        <w:ind w:left="2121" w:hanging="360"/>
      </w:pPr>
    </w:lvl>
    <w:lvl w:ilvl="4" w:tplc="04090019" w:tentative="1">
      <w:start w:val="1"/>
      <w:numFmt w:val="lowerLetter"/>
      <w:lvlText w:val="%5."/>
      <w:lvlJc w:val="left"/>
      <w:pPr>
        <w:ind w:left="2841" w:hanging="360"/>
      </w:pPr>
    </w:lvl>
    <w:lvl w:ilvl="5" w:tplc="0409001B" w:tentative="1">
      <w:start w:val="1"/>
      <w:numFmt w:val="lowerRoman"/>
      <w:lvlText w:val="%6."/>
      <w:lvlJc w:val="right"/>
      <w:pPr>
        <w:ind w:left="3561" w:hanging="180"/>
      </w:pPr>
    </w:lvl>
    <w:lvl w:ilvl="6" w:tplc="0409000F" w:tentative="1">
      <w:start w:val="1"/>
      <w:numFmt w:val="decimal"/>
      <w:lvlText w:val="%7."/>
      <w:lvlJc w:val="left"/>
      <w:pPr>
        <w:ind w:left="4281" w:hanging="360"/>
      </w:pPr>
    </w:lvl>
    <w:lvl w:ilvl="7" w:tplc="04090019" w:tentative="1">
      <w:start w:val="1"/>
      <w:numFmt w:val="lowerLetter"/>
      <w:lvlText w:val="%8."/>
      <w:lvlJc w:val="left"/>
      <w:pPr>
        <w:ind w:left="5001" w:hanging="360"/>
      </w:pPr>
    </w:lvl>
    <w:lvl w:ilvl="8" w:tplc="0409001B" w:tentative="1">
      <w:start w:val="1"/>
      <w:numFmt w:val="lowerRoman"/>
      <w:lvlText w:val="%9."/>
      <w:lvlJc w:val="right"/>
      <w:pPr>
        <w:ind w:left="5721" w:hanging="180"/>
      </w:pPr>
    </w:lvl>
  </w:abstractNum>
  <w:abstractNum w:abstractNumId="23" w15:restartNumberingAfterBreak="0">
    <w:nsid w:val="46130A6D"/>
    <w:multiLevelType w:val="hybridMultilevel"/>
    <w:tmpl w:val="37E0EB5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7927A4"/>
    <w:multiLevelType w:val="hybridMultilevel"/>
    <w:tmpl w:val="EF4CE1DC"/>
    <w:lvl w:ilvl="0" w:tplc="0C090001">
      <w:start w:val="1"/>
      <w:numFmt w:val="bullet"/>
      <w:lvlText w:val=""/>
      <w:lvlJc w:val="left"/>
      <w:pPr>
        <w:ind w:left="1788" w:hanging="360"/>
      </w:pPr>
      <w:rPr>
        <w:rFonts w:ascii="Symbol" w:hAnsi="Symbol" w:hint="default"/>
      </w:rPr>
    </w:lvl>
    <w:lvl w:ilvl="1" w:tplc="0C090003" w:tentative="1">
      <w:start w:val="1"/>
      <w:numFmt w:val="bullet"/>
      <w:lvlText w:val="o"/>
      <w:lvlJc w:val="left"/>
      <w:pPr>
        <w:ind w:left="2508" w:hanging="360"/>
      </w:pPr>
      <w:rPr>
        <w:rFonts w:ascii="Courier New" w:hAnsi="Courier New" w:cs="Courier New" w:hint="default"/>
      </w:rPr>
    </w:lvl>
    <w:lvl w:ilvl="2" w:tplc="0C090005" w:tentative="1">
      <w:start w:val="1"/>
      <w:numFmt w:val="bullet"/>
      <w:lvlText w:val=""/>
      <w:lvlJc w:val="left"/>
      <w:pPr>
        <w:ind w:left="3228" w:hanging="360"/>
      </w:pPr>
      <w:rPr>
        <w:rFonts w:ascii="Wingdings" w:hAnsi="Wingdings" w:hint="default"/>
      </w:rPr>
    </w:lvl>
    <w:lvl w:ilvl="3" w:tplc="0C090001" w:tentative="1">
      <w:start w:val="1"/>
      <w:numFmt w:val="bullet"/>
      <w:lvlText w:val=""/>
      <w:lvlJc w:val="left"/>
      <w:pPr>
        <w:ind w:left="3948" w:hanging="360"/>
      </w:pPr>
      <w:rPr>
        <w:rFonts w:ascii="Symbol" w:hAnsi="Symbol" w:hint="default"/>
      </w:rPr>
    </w:lvl>
    <w:lvl w:ilvl="4" w:tplc="0C090003" w:tentative="1">
      <w:start w:val="1"/>
      <w:numFmt w:val="bullet"/>
      <w:lvlText w:val="o"/>
      <w:lvlJc w:val="left"/>
      <w:pPr>
        <w:ind w:left="4668" w:hanging="360"/>
      </w:pPr>
      <w:rPr>
        <w:rFonts w:ascii="Courier New" w:hAnsi="Courier New" w:cs="Courier New" w:hint="default"/>
      </w:rPr>
    </w:lvl>
    <w:lvl w:ilvl="5" w:tplc="0C090005" w:tentative="1">
      <w:start w:val="1"/>
      <w:numFmt w:val="bullet"/>
      <w:lvlText w:val=""/>
      <w:lvlJc w:val="left"/>
      <w:pPr>
        <w:ind w:left="5388" w:hanging="360"/>
      </w:pPr>
      <w:rPr>
        <w:rFonts w:ascii="Wingdings" w:hAnsi="Wingdings" w:hint="default"/>
      </w:rPr>
    </w:lvl>
    <w:lvl w:ilvl="6" w:tplc="0C090001" w:tentative="1">
      <w:start w:val="1"/>
      <w:numFmt w:val="bullet"/>
      <w:lvlText w:val=""/>
      <w:lvlJc w:val="left"/>
      <w:pPr>
        <w:ind w:left="6108" w:hanging="360"/>
      </w:pPr>
      <w:rPr>
        <w:rFonts w:ascii="Symbol" w:hAnsi="Symbol" w:hint="default"/>
      </w:rPr>
    </w:lvl>
    <w:lvl w:ilvl="7" w:tplc="0C090003" w:tentative="1">
      <w:start w:val="1"/>
      <w:numFmt w:val="bullet"/>
      <w:lvlText w:val="o"/>
      <w:lvlJc w:val="left"/>
      <w:pPr>
        <w:ind w:left="6828" w:hanging="360"/>
      </w:pPr>
      <w:rPr>
        <w:rFonts w:ascii="Courier New" w:hAnsi="Courier New" w:cs="Courier New" w:hint="default"/>
      </w:rPr>
    </w:lvl>
    <w:lvl w:ilvl="8" w:tplc="0C090005" w:tentative="1">
      <w:start w:val="1"/>
      <w:numFmt w:val="bullet"/>
      <w:lvlText w:val=""/>
      <w:lvlJc w:val="left"/>
      <w:pPr>
        <w:ind w:left="7548" w:hanging="360"/>
      </w:pPr>
      <w:rPr>
        <w:rFonts w:ascii="Wingdings" w:hAnsi="Wingdings" w:hint="default"/>
      </w:rPr>
    </w:lvl>
  </w:abstractNum>
  <w:abstractNum w:abstractNumId="26" w15:restartNumberingAfterBreak="0">
    <w:nsid w:val="498E1E9A"/>
    <w:multiLevelType w:val="hybridMultilevel"/>
    <w:tmpl w:val="6A9AECFA"/>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27" w15:restartNumberingAfterBreak="0">
    <w:nsid w:val="4C06481D"/>
    <w:multiLevelType w:val="hybridMultilevel"/>
    <w:tmpl w:val="9D9C192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D30E50"/>
    <w:multiLevelType w:val="hybridMultilevel"/>
    <w:tmpl w:val="6BDC511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9F7E26"/>
    <w:multiLevelType w:val="hybridMultilevel"/>
    <w:tmpl w:val="AD22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1" w15:restartNumberingAfterBreak="0">
    <w:nsid w:val="5BE35D71"/>
    <w:multiLevelType w:val="hybridMultilevel"/>
    <w:tmpl w:val="2124E23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2B7DA5"/>
    <w:multiLevelType w:val="hybridMultilevel"/>
    <w:tmpl w:val="F4028A2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2FE6946"/>
    <w:multiLevelType w:val="hybridMultilevel"/>
    <w:tmpl w:val="E61C4C0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065917"/>
    <w:multiLevelType w:val="hybridMultilevel"/>
    <w:tmpl w:val="FE5CCA9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7" w15:restartNumberingAfterBreak="0">
    <w:nsid w:val="6B264CEE"/>
    <w:multiLevelType w:val="hybridMultilevel"/>
    <w:tmpl w:val="1E46C456"/>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7D2897"/>
    <w:multiLevelType w:val="hybridMultilevel"/>
    <w:tmpl w:val="95AC6098"/>
    <w:lvl w:ilvl="0" w:tplc="11BCCF76">
      <w:start w:val="1"/>
      <w:numFmt w:val="decimal"/>
      <w:lvlText w:val="%1."/>
      <w:lvlJc w:val="left"/>
      <w:pPr>
        <w:ind w:left="1777" w:hanging="360"/>
      </w:pPr>
      <w:rPr>
        <w:rFonts w:hint="default"/>
      </w:rPr>
    </w:lvl>
    <w:lvl w:ilvl="1" w:tplc="04090019" w:tentative="1">
      <w:start w:val="1"/>
      <w:numFmt w:val="lowerLetter"/>
      <w:lvlText w:val="%2."/>
      <w:lvlJc w:val="left"/>
      <w:pPr>
        <w:ind w:left="3140" w:hanging="360"/>
      </w:pPr>
    </w:lvl>
    <w:lvl w:ilvl="2" w:tplc="0409001B" w:tentative="1">
      <w:start w:val="1"/>
      <w:numFmt w:val="lowerRoman"/>
      <w:lvlText w:val="%3."/>
      <w:lvlJc w:val="right"/>
      <w:pPr>
        <w:ind w:left="3860" w:hanging="180"/>
      </w:pPr>
    </w:lvl>
    <w:lvl w:ilvl="3" w:tplc="0409000F" w:tentative="1">
      <w:start w:val="1"/>
      <w:numFmt w:val="decimal"/>
      <w:lvlText w:val="%4."/>
      <w:lvlJc w:val="left"/>
      <w:pPr>
        <w:ind w:left="4580" w:hanging="360"/>
      </w:pPr>
    </w:lvl>
    <w:lvl w:ilvl="4" w:tplc="04090019" w:tentative="1">
      <w:start w:val="1"/>
      <w:numFmt w:val="lowerLetter"/>
      <w:lvlText w:val="%5."/>
      <w:lvlJc w:val="left"/>
      <w:pPr>
        <w:ind w:left="5300" w:hanging="360"/>
      </w:pPr>
    </w:lvl>
    <w:lvl w:ilvl="5" w:tplc="0409001B" w:tentative="1">
      <w:start w:val="1"/>
      <w:numFmt w:val="lowerRoman"/>
      <w:lvlText w:val="%6."/>
      <w:lvlJc w:val="right"/>
      <w:pPr>
        <w:ind w:left="6020" w:hanging="180"/>
      </w:pPr>
    </w:lvl>
    <w:lvl w:ilvl="6" w:tplc="0409000F" w:tentative="1">
      <w:start w:val="1"/>
      <w:numFmt w:val="decimal"/>
      <w:lvlText w:val="%7."/>
      <w:lvlJc w:val="left"/>
      <w:pPr>
        <w:ind w:left="6740" w:hanging="360"/>
      </w:pPr>
    </w:lvl>
    <w:lvl w:ilvl="7" w:tplc="04090019" w:tentative="1">
      <w:start w:val="1"/>
      <w:numFmt w:val="lowerLetter"/>
      <w:lvlText w:val="%8."/>
      <w:lvlJc w:val="left"/>
      <w:pPr>
        <w:ind w:left="7460" w:hanging="360"/>
      </w:pPr>
    </w:lvl>
    <w:lvl w:ilvl="8" w:tplc="0409001B" w:tentative="1">
      <w:start w:val="1"/>
      <w:numFmt w:val="lowerRoman"/>
      <w:lvlText w:val="%9."/>
      <w:lvlJc w:val="right"/>
      <w:pPr>
        <w:ind w:left="8180" w:hanging="180"/>
      </w:pPr>
    </w:lvl>
  </w:abstractNum>
  <w:abstractNum w:abstractNumId="39" w15:restartNumberingAfterBreak="0">
    <w:nsid w:val="6E8B15C4"/>
    <w:multiLevelType w:val="hybridMultilevel"/>
    <w:tmpl w:val="4E66F308"/>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713D63"/>
    <w:multiLevelType w:val="hybridMultilevel"/>
    <w:tmpl w:val="99803AD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9B3D10"/>
    <w:multiLevelType w:val="hybridMultilevel"/>
    <w:tmpl w:val="6A10597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3" w15:restartNumberingAfterBreak="0">
    <w:nsid w:val="7DA618F5"/>
    <w:multiLevelType w:val="hybridMultilevel"/>
    <w:tmpl w:val="40A4684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4"/>
  </w:num>
  <w:num w:numId="3">
    <w:abstractNumId w:val="43"/>
  </w:num>
  <w:num w:numId="4">
    <w:abstractNumId w:val="41"/>
  </w:num>
  <w:num w:numId="5">
    <w:abstractNumId w:val="28"/>
  </w:num>
  <w:num w:numId="6">
    <w:abstractNumId w:val="11"/>
  </w:num>
  <w:num w:numId="7">
    <w:abstractNumId w:val="32"/>
  </w:num>
  <w:num w:numId="8">
    <w:abstractNumId w:val="8"/>
  </w:num>
  <w:num w:numId="9">
    <w:abstractNumId w:val="40"/>
  </w:num>
  <w:num w:numId="10">
    <w:abstractNumId w:val="6"/>
  </w:num>
  <w:num w:numId="11">
    <w:abstractNumId w:val="23"/>
  </w:num>
  <w:num w:numId="12">
    <w:abstractNumId w:val="0"/>
  </w:num>
  <w:num w:numId="13">
    <w:abstractNumId w:val="35"/>
  </w:num>
  <w:num w:numId="14">
    <w:abstractNumId w:val="15"/>
  </w:num>
  <w:num w:numId="15">
    <w:abstractNumId w:val="2"/>
  </w:num>
  <w:num w:numId="16">
    <w:abstractNumId w:val="29"/>
  </w:num>
  <w:num w:numId="17">
    <w:abstractNumId w:val="9"/>
  </w:num>
  <w:num w:numId="18">
    <w:abstractNumId w:val="12"/>
  </w:num>
  <w:num w:numId="19">
    <w:abstractNumId w:val="18"/>
  </w:num>
  <w:num w:numId="20">
    <w:abstractNumId w:val="5"/>
  </w:num>
  <w:num w:numId="21">
    <w:abstractNumId w:val="33"/>
  </w:num>
  <w:num w:numId="22">
    <w:abstractNumId w:val="31"/>
  </w:num>
  <w:num w:numId="23">
    <w:abstractNumId w:val="34"/>
  </w:num>
  <w:num w:numId="24">
    <w:abstractNumId w:val="37"/>
  </w:num>
  <w:num w:numId="25">
    <w:abstractNumId w:val="30"/>
  </w:num>
  <w:num w:numId="26">
    <w:abstractNumId w:val="3"/>
  </w:num>
  <w:num w:numId="27">
    <w:abstractNumId w:val="39"/>
  </w:num>
  <w:num w:numId="28">
    <w:abstractNumId w:val="24"/>
  </w:num>
  <w:num w:numId="29">
    <w:abstractNumId w:val="25"/>
  </w:num>
  <w:num w:numId="30">
    <w:abstractNumId w:val="13"/>
  </w:num>
  <w:num w:numId="31">
    <w:abstractNumId w:val="20"/>
  </w:num>
  <w:num w:numId="32">
    <w:abstractNumId w:val="38"/>
  </w:num>
  <w:num w:numId="33">
    <w:abstractNumId w:val="22"/>
  </w:num>
  <w:num w:numId="34">
    <w:abstractNumId w:val="10"/>
  </w:num>
  <w:num w:numId="35">
    <w:abstractNumId w:val="19"/>
  </w:num>
  <w:num w:numId="36">
    <w:abstractNumId w:val="36"/>
  </w:num>
  <w:num w:numId="37">
    <w:abstractNumId w:val="42"/>
  </w:num>
  <w:num w:numId="38">
    <w:abstractNumId w:val="7"/>
  </w:num>
  <w:num w:numId="39">
    <w:abstractNumId w:val="26"/>
  </w:num>
  <w:num w:numId="40">
    <w:abstractNumId w:val="21"/>
  </w:num>
  <w:num w:numId="41">
    <w:abstractNumId w:val="17"/>
  </w:num>
  <w:num w:numId="42">
    <w:abstractNumId w:val="1"/>
  </w:num>
  <w:num w:numId="43">
    <w:abstractNumId w:val="13"/>
  </w:num>
  <w:num w:numId="44">
    <w:abstractNumId w:val="4"/>
  </w:num>
  <w:num w:numId="4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5762D"/>
    <w:rsid w:val="000A6D16"/>
    <w:rsid w:val="000B4280"/>
    <w:rsid w:val="000B5720"/>
    <w:rsid w:val="001116BE"/>
    <w:rsid w:val="001136E6"/>
    <w:rsid w:val="0013625E"/>
    <w:rsid w:val="00136ABB"/>
    <w:rsid w:val="00145ECD"/>
    <w:rsid w:val="00151775"/>
    <w:rsid w:val="001B42D4"/>
    <w:rsid w:val="001C66CA"/>
    <w:rsid w:val="001D1E2C"/>
    <w:rsid w:val="00201E0F"/>
    <w:rsid w:val="0021486F"/>
    <w:rsid w:val="00233657"/>
    <w:rsid w:val="00244E80"/>
    <w:rsid w:val="00290447"/>
    <w:rsid w:val="002A7F2F"/>
    <w:rsid w:val="002C4D32"/>
    <w:rsid w:val="002E04A4"/>
    <w:rsid w:val="00310574"/>
    <w:rsid w:val="0032241B"/>
    <w:rsid w:val="0032350F"/>
    <w:rsid w:val="00344B89"/>
    <w:rsid w:val="0036669C"/>
    <w:rsid w:val="003A4132"/>
    <w:rsid w:val="003A4C16"/>
    <w:rsid w:val="003D6AF9"/>
    <w:rsid w:val="003E5408"/>
    <w:rsid w:val="003F59E7"/>
    <w:rsid w:val="003F6504"/>
    <w:rsid w:val="004162A3"/>
    <w:rsid w:val="0042395E"/>
    <w:rsid w:val="0045799A"/>
    <w:rsid w:val="004A79B2"/>
    <w:rsid w:val="004B1ABE"/>
    <w:rsid w:val="005504F7"/>
    <w:rsid w:val="00594636"/>
    <w:rsid w:val="005D148A"/>
    <w:rsid w:val="005D7F72"/>
    <w:rsid w:val="005F1D6D"/>
    <w:rsid w:val="005F6F48"/>
    <w:rsid w:val="006A01FF"/>
    <w:rsid w:val="006F2146"/>
    <w:rsid w:val="00726E19"/>
    <w:rsid w:val="00754AEB"/>
    <w:rsid w:val="007764EA"/>
    <w:rsid w:val="007E1EE6"/>
    <w:rsid w:val="008145AF"/>
    <w:rsid w:val="0083407C"/>
    <w:rsid w:val="008E6DC8"/>
    <w:rsid w:val="008F4F94"/>
    <w:rsid w:val="009042A1"/>
    <w:rsid w:val="009059BD"/>
    <w:rsid w:val="00910CA0"/>
    <w:rsid w:val="00954BF1"/>
    <w:rsid w:val="009B1864"/>
    <w:rsid w:val="009B42B0"/>
    <w:rsid w:val="009B6618"/>
    <w:rsid w:val="009C4400"/>
    <w:rsid w:val="009D4235"/>
    <w:rsid w:val="00A07751"/>
    <w:rsid w:val="00A26872"/>
    <w:rsid w:val="00A34AC1"/>
    <w:rsid w:val="00A81408"/>
    <w:rsid w:val="00A820D9"/>
    <w:rsid w:val="00A97992"/>
    <w:rsid w:val="00AA21B4"/>
    <w:rsid w:val="00AB1AA1"/>
    <w:rsid w:val="00AD3FA2"/>
    <w:rsid w:val="00AF6C03"/>
    <w:rsid w:val="00B70EE2"/>
    <w:rsid w:val="00B72B18"/>
    <w:rsid w:val="00BD01D0"/>
    <w:rsid w:val="00BF758C"/>
    <w:rsid w:val="00C1165D"/>
    <w:rsid w:val="00C137AA"/>
    <w:rsid w:val="00C312AD"/>
    <w:rsid w:val="00C749E5"/>
    <w:rsid w:val="00CC440D"/>
    <w:rsid w:val="00CC447C"/>
    <w:rsid w:val="00D00F97"/>
    <w:rsid w:val="00D168BA"/>
    <w:rsid w:val="00D37A00"/>
    <w:rsid w:val="00D4010C"/>
    <w:rsid w:val="00D4338B"/>
    <w:rsid w:val="00D656E1"/>
    <w:rsid w:val="00D76176"/>
    <w:rsid w:val="00DB2B22"/>
    <w:rsid w:val="00DC50C3"/>
    <w:rsid w:val="00E5094F"/>
    <w:rsid w:val="00E86699"/>
    <w:rsid w:val="00EB0FC2"/>
    <w:rsid w:val="00EB71D0"/>
    <w:rsid w:val="00EE1408"/>
    <w:rsid w:val="00EE597E"/>
    <w:rsid w:val="00F01B4D"/>
    <w:rsid w:val="00F235D4"/>
    <w:rsid w:val="00F34D49"/>
    <w:rsid w:val="00F5739C"/>
    <w:rsid w:val="00F7530F"/>
    <w:rsid w:val="00F83C27"/>
    <w:rsid w:val="00F852F9"/>
    <w:rsid w:val="00F85785"/>
    <w:rsid w:val="00F85EEC"/>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35D38"/>
  <w15:docId w15:val="{A325D3FB-7477-9E4C-870C-83E7742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6"/>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6"/>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6"/>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6"/>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6"/>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6"/>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customStyle="1" w:styleId="Style1">
    <w:name w:val="Style1"/>
    <w:basedOn w:val="Normal"/>
    <w:qFormat/>
    <w:rsid w:val="00310574"/>
    <w:pPr>
      <w:framePr w:wrap="around" w:vAnchor="text" w:hAnchor="text" w:xAlign="center" w:y="1"/>
      <w:spacing w:after="0" w:line="240" w:lineRule="auto"/>
      <w:jc w:val="center"/>
    </w:pPr>
    <w:rPr>
      <w:rFonts w:asciiTheme="majorHAnsi" w:hAnsiTheme="majorHAnsi"/>
      <w:sz w:val="20"/>
      <w:szCs w:val="20"/>
    </w:rPr>
  </w:style>
  <w:style w:type="paragraph" w:customStyle="1" w:styleId="CenteredLeftintable">
    <w:name w:val="Centered Left in table"/>
    <w:basedOn w:val="Normal"/>
    <w:qFormat/>
    <w:rsid w:val="00310574"/>
    <w:pPr>
      <w:spacing w:after="0" w:line="240" w:lineRule="auto"/>
    </w:pPr>
    <w:rPr>
      <w:rFonts w:asciiTheme="majorHAnsi" w:hAnsiTheme="majorHAnsi"/>
      <w:sz w:val="20"/>
      <w:szCs w:val="20"/>
    </w:rPr>
  </w:style>
  <w:style w:type="paragraph" w:customStyle="1" w:styleId="PolicyHeading">
    <w:name w:val="Policy Heading"/>
    <w:basedOn w:val="Normal"/>
    <w:qFormat/>
    <w:rsid w:val="00310574"/>
    <w:pPr>
      <w:spacing w:line="276" w:lineRule="auto"/>
    </w:pPr>
    <w:rPr>
      <w:rFonts w:asciiTheme="majorHAnsi" w:hAnsiTheme="majorHAnsi" w:cs="Times New Roman (Body CS)"/>
      <w:spacing w:val="30"/>
      <w:sz w:val="46"/>
      <w:szCs w:val="46"/>
    </w:rPr>
  </w:style>
  <w:style w:type="paragraph" w:styleId="NoSpacing">
    <w:name w:val="No Spacing"/>
    <w:uiPriority w:val="1"/>
    <w:qFormat/>
    <w:rsid w:val="00310574"/>
    <w:pPr>
      <w:spacing w:after="0" w:line="240" w:lineRule="auto"/>
    </w:pPr>
    <w:rPr>
      <w:rFonts w:eastAsiaTheme="minorEastAsia"/>
      <w:lang w:val="en-US" w:eastAsia="ja-JP"/>
    </w:rPr>
  </w:style>
  <w:style w:type="paragraph" w:customStyle="1" w:styleId="Policycopy">
    <w:name w:val="Policy copy"/>
    <w:basedOn w:val="Normal"/>
    <w:qFormat/>
    <w:rsid w:val="00310574"/>
    <w:pPr>
      <w:spacing w:after="0"/>
    </w:pPr>
    <w:rPr>
      <w:rFonts w:asciiTheme="majorHAnsi" w:hAnsiTheme="majorHAnsi"/>
    </w:rPr>
  </w:style>
  <w:style w:type="paragraph" w:customStyle="1" w:styleId="Policysub-heading">
    <w:name w:val="Policy sub-heading"/>
    <w:basedOn w:val="Normal"/>
    <w:qFormat/>
    <w:rsid w:val="00290447"/>
    <w:pPr>
      <w:spacing w:after="0"/>
    </w:pPr>
    <w:rPr>
      <w:rFonts w:asciiTheme="majorHAnsi" w:hAnsiTheme="majorHAnsi" w:cs="Calibri"/>
      <w:color w:val="34ABC1"/>
      <w:sz w:val="24"/>
    </w:rPr>
  </w:style>
  <w:style w:type="paragraph" w:customStyle="1" w:styleId="BulletPointsPolicy">
    <w:name w:val="Bullet Points Policy"/>
    <w:basedOn w:val="ListParagraph"/>
    <w:qFormat/>
    <w:rsid w:val="00310574"/>
    <w:pPr>
      <w:numPr>
        <w:numId w:val="30"/>
      </w:numPr>
      <w:spacing w:after="0" w:line="360" w:lineRule="auto"/>
    </w:pPr>
    <w:rPr>
      <w:rFonts w:asciiTheme="majorHAnsi" w:hAnsiTheme="maj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3228">
      <w:bodyDiv w:val="1"/>
      <w:marLeft w:val="0"/>
      <w:marRight w:val="0"/>
      <w:marTop w:val="0"/>
      <w:marBottom w:val="0"/>
      <w:divBdr>
        <w:top w:val="none" w:sz="0" w:space="0" w:color="auto"/>
        <w:left w:val="none" w:sz="0" w:space="0" w:color="auto"/>
        <w:bottom w:val="none" w:sz="0" w:space="0" w:color="auto"/>
        <w:right w:val="none" w:sz="0" w:space="0" w:color="auto"/>
      </w:divBdr>
    </w:div>
    <w:div w:id="310141539">
      <w:bodyDiv w:val="1"/>
      <w:marLeft w:val="0"/>
      <w:marRight w:val="0"/>
      <w:marTop w:val="0"/>
      <w:marBottom w:val="0"/>
      <w:divBdr>
        <w:top w:val="none" w:sz="0" w:space="0" w:color="auto"/>
        <w:left w:val="none" w:sz="0" w:space="0" w:color="auto"/>
        <w:bottom w:val="none" w:sz="0" w:space="0" w:color="auto"/>
        <w:right w:val="none" w:sz="0" w:space="0" w:color="auto"/>
      </w:divBdr>
    </w:div>
    <w:div w:id="693651129">
      <w:bodyDiv w:val="1"/>
      <w:marLeft w:val="0"/>
      <w:marRight w:val="0"/>
      <w:marTop w:val="0"/>
      <w:marBottom w:val="0"/>
      <w:divBdr>
        <w:top w:val="none" w:sz="0" w:space="0" w:color="auto"/>
        <w:left w:val="none" w:sz="0" w:space="0" w:color="auto"/>
        <w:bottom w:val="none" w:sz="0" w:space="0" w:color="auto"/>
        <w:right w:val="none" w:sz="0" w:space="0" w:color="auto"/>
      </w:divBdr>
    </w:div>
    <w:div w:id="785393881">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924336698">
      <w:bodyDiv w:val="1"/>
      <w:marLeft w:val="0"/>
      <w:marRight w:val="0"/>
      <w:marTop w:val="0"/>
      <w:marBottom w:val="0"/>
      <w:divBdr>
        <w:top w:val="none" w:sz="0" w:space="0" w:color="auto"/>
        <w:left w:val="none" w:sz="0" w:space="0" w:color="auto"/>
        <w:bottom w:val="none" w:sz="0" w:space="0" w:color="auto"/>
        <w:right w:val="none" w:sz="0" w:space="0" w:color="auto"/>
      </w:divBdr>
    </w:div>
    <w:div w:id="120555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gov.au/LoginServices/main/login?execution=e2s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ducation.gov.au/early-childhood-and-child-care-0" TargetMode="External"/><Relationship Id="rId4" Type="http://schemas.openxmlformats.org/officeDocument/2006/relationships/settings" Target="settings.xml"/><Relationship Id="rId9" Type="http://schemas.openxmlformats.org/officeDocument/2006/relationships/hyperlink" Target="https://docs.education.gov.au/system/files/doc/other/child_care_provider_handbook_0.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0243F-E5C7-4F43-BB7D-AC51C928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leigh metcalf</cp:lastModifiedBy>
  <cp:revision>13</cp:revision>
  <cp:lastPrinted>2019-12-10T02:27:00Z</cp:lastPrinted>
  <dcterms:created xsi:type="dcterms:W3CDTF">2019-12-10T02:32:00Z</dcterms:created>
  <dcterms:modified xsi:type="dcterms:W3CDTF">2021-02-05T03:13:00Z</dcterms:modified>
</cp:coreProperties>
</file>