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1563E" w14:textId="77777777" w:rsidR="00C97515" w:rsidRPr="00C97515" w:rsidRDefault="00C97515" w:rsidP="00C97515">
      <w:pPr>
        <w:jc w:val="center"/>
        <w:rPr>
          <w:sz w:val="52"/>
          <w:szCs w:val="52"/>
        </w:rPr>
      </w:pPr>
      <w:bookmarkStart w:id="0" w:name="_Hlk485733827"/>
      <w:bookmarkStart w:id="1" w:name="_GoBack"/>
      <w:r>
        <w:rPr>
          <w:sz w:val="52"/>
          <w:szCs w:val="52"/>
        </w:rPr>
        <w:t>Fees and Payment Policy and Procedure</w:t>
      </w:r>
    </w:p>
    <w:p w14:paraId="48A655B3" w14:textId="77777777" w:rsidR="00C97515" w:rsidRDefault="00C97515" w:rsidP="00C97515">
      <w:pPr>
        <w:rPr>
          <w:rFonts w:asciiTheme="majorHAnsi" w:hAnsiTheme="majorHAnsi"/>
          <w:b/>
        </w:rPr>
      </w:pPr>
    </w:p>
    <w:p w14:paraId="30329150" w14:textId="77777777" w:rsidR="00C97515" w:rsidRPr="00A77B11" w:rsidRDefault="00C97515" w:rsidP="00C97515">
      <w:pPr>
        <w:rPr>
          <w:rFonts w:asciiTheme="majorHAnsi" w:hAnsiTheme="majorHAnsi"/>
          <w:b/>
        </w:rPr>
      </w:pPr>
      <w:r w:rsidRPr="00A77B11">
        <w:rPr>
          <w:rFonts w:asciiTheme="majorHAnsi" w:hAnsiTheme="majorHAnsi"/>
          <w:b/>
        </w:rPr>
        <w:t>National Quality Standards (NQS)</w:t>
      </w:r>
    </w:p>
    <w:tbl>
      <w:tblPr>
        <w:tblStyle w:val="GridTable1Light-Accent31"/>
        <w:tblW w:w="0" w:type="auto"/>
        <w:tblLook w:val="04A0" w:firstRow="1" w:lastRow="0" w:firstColumn="1" w:lastColumn="0" w:noHBand="0" w:noVBand="1"/>
      </w:tblPr>
      <w:tblGrid>
        <w:gridCol w:w="698"/>
        <w:gridCol w:w="8318"/>
      </w:tblGrid>
      <w:tr w:rsidR="00C97515" w:rsidRPr="00A77B11" w14:paraId="7F8BDD25" w14:textId="77777777" w:rsidTr="00A76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1EFD8960" w14:textId="77777777" w:rsidR="00C97515" w:rsidRPr="00A77B11" w:rsidRDefault="00C97515" w:rsidP="00A76173">
            <w:pPr>
              <w:rPr>
                <w:rFonts w:asciiTheme="majorHAnsi" w:hAnsiTheme="majorHAnsi"/>
              </w:rPr>
            </w:pPr>
            <w:r>
              <w:rPr>
                <w:rFonts w:asciiTheme="majorHAnsi" w:hAnsiTheme="majorHAnsi"/>
              </w:rPr>
              <w:t>Quality Area 7: Leadership and service management</w:t>
            </w:r>
          </w:p>
        </w:tc>
      </w:tr>
      <w:tr w:rsidR="00C97515" w:rsidRPr="00A77B11" w14:paraId="69A218F7" w14:textId="77777777" w:rsidTr="00A76173">
        <w:tc>
          <w:tcPr>
            <w:cnfStyle w:val="001000000000" w:firstRow="0" w:lastRow="0" w:firstColumn="1" w:lastColumn="0" w:oddVBand="0" w:evenVBand="0" w:oddHBand="0" w:evenHBand="0" w:firstRowFirstColumn="0" w:firstRowLastColumn="0" w:lastRowFirstColumn="0" w:lastRowLastColumn="0"/>
            <w:tcW w:w="704" w:type="dxa"/>
          </w:tcPr>
          <w:p w14:paraId="33AFDA44" w14:textId="77777777" w:rsidR="00C97515" w:rsidRPr="00A77B11" w:rsidRDefault="00C97515" w:rsidP="00A76173">
            <w:pPr>
              <w:rPr>
                <w:rFonts w:asciiTheme="majorHAnsi" w:hAnsiTheme="majorHAnsi"/>
              </w:rPr>
            </w:pPr>
            <w:r w:rsidRPr="00A77B11">
              <w:rPr>
                <w:rFonts w:asciiTheme="majorHAnsi" w:hAnsiTheme="majorHAnsi" w:cs="Calibri"/>
                <w:sz w:val="18"/>
              </w:rPr>
              <w:t>7.3.2</w:t>
            </w:r>
          </w:p>
        </w:tc>
        <w:tc>
          <w:tcPr>
            <w:tcW w:w="8646" w:type="dxa"/>
          </w:tcPr>
          <w:p w14:paraId="7C55260F" w14:textId="77777777" w:rsidR="00C97515" w:rsidRPr="00A77B11" w:rsidRDefault="00C97515" w:rsidP="00A7617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77B11">
              <w:rPr>
                <w:rFonts w:asciiTheme="majorHAnsi" w:hAnsiTheme="majorHAnsi" w:cs="Calibri"/>
              </w:rPr>
              <w:t>Administrative systems are established and maintained to ensure the effective operation of the service.</w:t>
            </w:r>
          </w:p>
        </w:tc>
      </w:tr>
    </w:tbl>
    <w:p w14:paraId="0AA49DF7" w14:textId="77777777" w:rsidR="00C97515" w:rsidRDefault="00C97515" w:rsidP="00C97515">
      <w:pPr>
        <w:rPr>
          <w:rFonts w:asciiTheme="majorHAnsi" w:hAnsiTheme="majorHAnsi"/>
          <w:b/>
        </w:rPr>
      </w:pPr>
    </w:p>
    <w:p w14:paraId="684CC539" w14:textId="77777777" w:rsidR="00C97515" w:rsidRDefault="00C97515" w:rsidP="00C97515">
      <w:pPr>
        <w:rPr>
          <w:rFonts w:asciiTheme="majorHAnsi" w:hAnsiTheme="majorHAnsi"/>
          <w:b/>
        </w:rPr>
      </w:pPr>
      <w:r>
        <w:rPr>
          <w:rFonts w:asciiTheme="majorHAnsi" w:hAnsiTheme="majorHAnsi"/>
          <w:b/>
        </w:rPr>
        <w:t xml:space="preserve">National Education and Care Regulations </w:t>
      </w:r>
    </w:p>
    <w:tbl>
      <w:tblPr>
        <w:tblStyle w:val="GridTable1Light-Accent31"/>
        <w:tblW w:w="0" w:type="auto"/>
        <w:tblLook w:val="04A0" w:firstRow="1" w:lastRow="0" w:firstColumn="1" w:lastColumn="0" w:noHBand="0" w:noVBand="1"/>
      </w:tblPr>
      <w:tblGrid>
        <w:gridCol w:w="695"/>
        <w:gridCol w:w="8321"/>
      </w:tblGrid>
      <w:tr w:rsidR="00C97515" w:rsidRPr="00BB3EFD" w14:paraId="30F74E2A" w14:textId="77777777" w:rsidTr="00F97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auto"/>
          </w:tcPr>
          <w:p w14:paraId="64371A42" w14:textId="77777777" w:rsidR="00C97515" w:rsidRPr="00F97E9C" w:rsidRDefault="00C97515" w:rsidP="00A76173">
            <w:pPr>
              <w:rPr>
                <w:rFonts w:asciiTheme="majorHAnsi" w:hAnsiTheme="majorHAnsi"/>
              </w:rPr>
            </w:pPr>
            <w:r w:rsidRPr="00F97E9C">
              <w:rPr>
                <w:rFonts w:asciiTheme="majorHAnsi" w:hAnsiTheme="majorHAnsi"/>
              </w:rPr>
              <w:t>Quality Area 7: Leadership and service management</w:t>
            </w:r>
          </w:p>
        </w:tc>
      </w:tr>
      <w:tr w:rsidR="00C97515" w:rsidRPr="00A77B11" w14:paraId="555A54CD" w14:textId="77777777" w:rsidTr="00F97E9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A7E6239" w14:textId="77777777" w:rsidR="00C97515" w:rsidRPr="00F97E9C" w:rsidRDefault="00C97515" w:rsidP="00A76173">
            <w:pPr>
              <w:rPr>
                <w:rFonts w:asciiTheme="majorHAnsi" w:hAnsiTheme="majorHAnsi"/>
              </w:rPr>
            </w:pPr>
            <w:r w:rsidRPr="00F97E9C">
              <w:rPr>
                <w:rFonts w:asciiTheme="majorHAnsi" w:hAnsiTheme="majorHAnsi" w:cs="Calibri"/>
                <w:sz w:val="18"/>
              </w:rPr>
              <w:t>168</w:t>
            </w:r>
          </w:p>
        </w:tc>
        <w:tc>
          <w:tcPr>
            <w:tcW w:w="8646" w:type="dxa"/>
            <w:shd w:val="clear" w:color="auto" w:fill="auto"/>
          </w:tcPr>
          <w:p w14:paraId="7D8AEAB0" w14:textId="77777777" w:rsidR="00C97515" w:rsidRPr="00F97E9C" w:rsidRDefault="00C97515" w:rsidP="00A7617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97E9C">
              <w:rPr>
                <w:rFonts w:asciiTheme="majorHAnsi" w:hAnsiTheme="majorHAnsi" w:cs="Calibri"/>
              </w:rPr>
              <w:t xml:space="preserve"> Education and care service must have policies and procedures </w:t>
            </w:r>
          </w:p>
        </w:tc>
      </w:tr>
    </w:tbl>
    <w:p w14:paraId="057427D9" w14:textId="77777777" w:rsidR="00C97515" w:rsidRDefault="00C97515" w:rsidP="00C97515">
      <w:pPr>
        <w:rPr>
          <w:rFonts w:asciiTheme="majorHAnsi" w:hAnsiTheme="majorHAnsi"/>
          <w:b/>
        </w:rPr>
      </w:pPr>
    </w:p>
    <w:p w14:paraId="54296E79" w14:textId="77777777" w:rsidR="00C97515" w:rsidRPr="00A77B11" w:rsidRDefault="00C97515" w:rsidP="00C97515">
      <w:pPr>
        <w:rPr>
          <w:rFonts w:asciiTheme="majorHAnsi" w:hAnsiTheme="majorHAnsi"/>
          <w:b/>
        </w:rPr>
      </w:pPr>
    </w:p>
    <w:p w14:paraId="547FEC1A" w14:textId="77777777" w:rsidR="00C97515" w:rsidRPr="00A77B11" w:rsidRDefault="00C97515" w:rsidP="00C97515">
      <w:pPr>
        <w:rPr>
          <w:rFonts w:asciiTheme="majorHAnsi" w:hAnsiTheme="majorHAnsi"/>
          <w:b/>
        </w:rPr>
      </w:pPr>
      <w:r w:rsidRPr="00A77B11">
        <w:rPr>
          <w:rFonts w:asciiTheme="majorHAnsi" w:hAnsiTheme="majorHAnsi"/>
          <w:b/>
        </w:rPr>
        <w:t>PURPOSE</w:t>
      </w:r>
    </w:p>
    <w:p w14:paraId="4A917A9C" w14:textId="77777777" w:rsidR="00C97515" w:rsidRDefault="00C97515" w:rsidP="00C97515">
      <w:pPr>
        <w:pStyle w:val="NoSpacing"/>
        <w:rPr>
          <w:rFonts w:asciiTheme="majorHAnsi" w:hAnsiTheme="majorHAnsi"/>
        </w:rPr>
      </w:pPr>
      <w:r w:rsidRPr="00A77B11">
        <w:rPr>
          <w:rFonts w:asciiTheme="majorHAnsi" w:hAnsiTheme="majorHAnsi"/>
        </w:rPr>
        <w:t>For parents to</w:t>
      </w:r>
      <w:r>
        <w:rPr>
          <w:rFonts w:asciiTheme="majorHAnsi" w:hAnsiTheme="majorHAnsi"/>
        </w:rPr>
        <w:t xml:space="preserve"> gain a clear understanding of the service fee structure, ensuring children’s fees are paid on time.</w:t>
      </w:r>
    </w:p>
    <w:p w14:paraId="4A19925B" w14:textId="77777777" w:rsidR="00C97515" w:rsidRPr="007477C4" w:rsidRDefault="00C97515" w:rsidP="00C97515">
      <w:pPr>
        <w:pStyle w:val="NoSpacing"/>
        <w:rPr>
          <w:rFonts w:asciiTheme="majorHAnsi" w:hAnsiTheme="majorHAnsi"/>
          <w:b/>
        </w:rPr>
      </w:pPr>
    </w:p>
    <w:p w14:paraId="5210852C" w14:textId="77777777" w:rsidR="00C97515" w:rsidRPr="00A77B11" w:rsidRDefault="00C97515" w:rsidP="00C97515">
      <w:pPr>
        <w:rPr>
          <w:rFonts w:asciiTheme="majorHAnsi" w:hAnsiTheme="majorHAnsi"/>
          <w:b/>
        </w:rPr>
      </w:pPr>
      <w:r w:rsidRPr="00A77B11">
        <w:rPr>
          <w:rFonts w:asciiTheme="majorHAnsi" w:hAnsiTheme="majorHAnsi"/>
          <w:b/>
        </w:rPr>
        <w:t>SCOPE</w:t>
      </w:r>
    </w:p>
    <w:p w14:paraId="5ED1DA33" w14:textId="77777777" w:rsidR="00C97515" w:rsidRDefault="00C97515" w:rsidP="00C97515">
      <w:pPr>
        <w:spacing w:after="0"/>
        <w:rPr>
          <w:rFonts w:asciiTheme="majorHAnsi" w:hAnsiTheme="majorHAnsi"/>
        </w:rPr>
      </w:pPr>
      <w:r w:rsidRPr="00A77B11">
        <w:rPr>
          <w:rFonts w:asciiTheme="majorHAnsi" w:hAnsiTheme="majorHAnsi"/>
        </w:rPr>
        <w:t xml:space="preserve">This policy applies to children, families, staff, management and visitors of </w:t>
      </w:r>
      <w:r>
        <w:rPr>
          <w:rFonts w:asciiTheme="majorHAnsi" w:hAnsiTheme="majorHAnsi"/>
        </w:rPr>
        <w:t>Waratah All Year Care</w:t>
      </w:r>
      <w:r w:rsidRPr="00A77B11">
        <w:rPr>
          <w:rFonts w:asciiTheme="majorHAnsi" w:hAnsiTheme="majorHAnsi"/>
        </w:rPr>
        <w:t>.</w:t>
      </w:r>
    </w:p>
    <w:p w14:paraId="33ACC1FA" w14:textId="77777777" w:rsidR="00C97515" w:rsidRPr="00A77B11" w:rsidRDefault="00C97515" w:rsidP="00C97515">
      <w:pPr>
        <w:spacing w:after="0"/>
        <w:rPr>
          <w:rFonts w:asciiTheme="majorHAnsi" w:hAnsiTheme="majorHAnsi"/>
        </w:rPr>
      </w:pPr>
    </w:p>
    <w:p w14:paraId="059A596F" w14:textId="77777777" w:rsidR="00C97515" w:rsidRPr="00A77B11" w:rsidRDefault="00C97515" w:rsidP="00C97515">
      <w:pPr>
        <w:rPr>
          <w:rFonts w:asciiTheme="majorHAnsi" w:hAnsiTheme="majorHAnsi"/>
          <w:b/>
        </w:rPr>
      </w:pPr>
      <w:r w:rsidRPr="00A77B11">
        <w:rPr>
          <w:rFonts w:asciiTheme="majorHAnsi" w:hAnsiTheme="majorHAnsi"/>
          <w:b/>
        </w:rPr>
        <w:t>IMPLEMENTATION</w:t>
      </w:r>
    </w:p>
    <w:p w14:paraId="0D65A0FD" w14:textId="77777777" w:rsidR="00C97515" w:rsidRDefault="00C97515" w:rsidP="00C97515">
      <w:pPr>
        <w:spacing w:after="0"/>
        <w:rPr>
          <w:rFonts w:asciiTheme="majorHAnsi" w:hAnsiTheme="majorHAnsi" w:cs="Calibri"/>
        </w:rPr>
      </w:pPr>
      <w:r>
        <w:rPr>
          <w:rFonts w:asciiTheme="majorHAnsi" w:hAnsiTheme="majorHAnsi" w:cs="Calibri"/>
        </w:rPr>
        <w:t xml:space="preserve">The fee structure of </w:t>
      </w:r>
      <w:r>
        <w:rPr>
          <w:rFonts w:asciiTheme="majorHAnsi" w:hAnsiTheme="majorHAnsi" w:cs="Calibri"/>
        </w:rPr>
        <w:t>Waratah All Year Care</w:t>
      </w:r>
      <w:r>
        <w:rPr>
          <w:rFonts w:asciiTheme="majorHAnsi" w:hAnsiTheme="majorHAnsi" w:cs="Calibri"/>
        </w:rPr>
        <w:t xml:space="preserve"> includes:</w:t>
      </w:r>
    </w:p>
    <w:p w14:paraId="0EDDBD17" w14:textId="77777777" w:rsidR="00C97515" w:rsidRDefault="00C97515" w:rsidP="00C97515">
      <w:pPr>
        <w:spacing w:after="0"/>
        <w:rPr>
          <w:rFonts w:asciiTheme="majorHAnsi" w:hAnsiTheme="majorHAnsi" w:cs="Calibri"/>
        </w:rPr>
      </w:pPr>
    </w:p>
    <w:p w14:paraId="6BABD127" w14:textId="77777777" w:rsidR="00C97515" w:rsidRDefault="00C97515" w:rsidP="00C97515">
      <w:pPr>
        <w:spacing w:after="0"/>
        <w:ind w:firstLine="708"/>
        <w:rPr>
          <w:rFonts w:asciiTheme="majorHAnsi" w:hAnsiTheme="majorHAnsi" w:cs="Calibri"/>
          <w:b/>
        </w:rPr>
      </w:pPr>
      <w:r>
        <w:rPr>
          <w:rFonts w:asciiTheme="majorHAnsi" w:hAnsiTheme="majorHAnsi" w:cs="Calibri"/>
          <w:b/>
        </w:rPr>
        <w:t xml:space="preserve">Bond Payment </w:t>
      </w:r>
    </w:p>
    <w:p w14:paraId="3983AF0B" w14:textId="77777777" w:rsidR="00C97515" w:rsidRPr="00F8720B" w:rsidRDefault="00C97515" w:rsidP="00C97515">
      <w:pPr>
        <w:pStyle w:val="ListParagraph"/>
        <w:numPr>
          <w:ilvl w:val="0"/>
          <w:numId w:val="3"/>
        </w:numPr>
        <w:spacing w:after="0"/>
        <w:rPr>
          <w:rFonts w:asciiTheme="majorHAnsi" w:hAnsiTheme="majorHAnsi" w:cs="Calibri"/>
          <w:b/>
        </w:rPr>
      </w:pPr>
      <w:r>
        <w:rPr>
          <w:rFonts w:asciiTheme="majorHAnsi" w:hAnsiTheme="majorHAnsi" w:cs="Calibri"/>
        </w:rPr>
        <w:t xml:space="preserve">A bond consisting of 2 weeks full fee is to be paid in order to hold a child’s position at the service. </w:t>
      </w:r>
    </w:p>
    <w:p w14:paraId="0BDF05CD" w14:textId="77777777" w:rsidR="00C97515" w:rsidRPr="00F8720B" w:rsidRDefault="00C97515" w:rsidP="00C97515">
      <w:pPr>
        <w:pStyle w:val="ListParagraph"/>
        <w:numPr>
          <w:ilvl w:val="0"/>
          <w:numId w:val="3"/>
        </w:numPr>
        <w:spacing w:after="0"/>
        <w:rPr>
          <w:rFonts w:asciiTheme="majorHAnsi" w:hAnsiTheme="majorHAnsi" w:cs="Calibri"/>
          <w:b/>
        </w:rPr>
      </w:pPr>
      <w:r>
        <w:rPr>
          <w:rFonts w:asciiTheme="majorHAnsi" w:hAnsiTheme="majorHAnsi" w:cs="Calibri"/>
        </w:rPr>
        <w:t xml:space="preserve">The Bond payment will be refunded back to families when the child leaves the service. </w:t>
      </w:r>
    </w:p>
    <w:p w14:paraId="05EE43EC" w14:textId="77777777" w:rsidR="00C97515" w:rsidRDefault="00C97515" w:rsidP="00C97515">
      <w:pPr>
        <w:spacing w:after="0" w:line="240" w:lineRule="auto"/>
        <w:rPr>
          <w:rFonts w:asciiTheme="majorHAnsi" w:hAnsiTheme="majorHAnsi" w:cs="Calibri"/>
          <w:b/>
        </w:rPr>
      </w:pPr>
    </w:p>
    <w:p w14:paraId="20B05BED" w14:textId="77777777" w:rsidR="00C97515" w:rsidRDefault="00C97515" w:rsidP="00C97515">
      <w:pPr>
        <w:spacing w:after="0"/>
        <w:ind w:left="708"/>
        <w:rPr>
          <w:rFonts w:asciiTheme="majorHAnsi" w:hAnsiTheme="majorHAnsi" w:cs="Calibri"/>
          <w:b/>
        </w:rPr>
      </w:pPr>
      <w:r>
        <w:rPr>
          <w:rFonts w:asciiTheme="majorHAnsi" w:hAnsiTheme="majorHAnsi" w:cs="Calibri"/>
          <w:b/>
        </w:rPr>
        <w:t xml:space="preserve">General Fees </w:t>
      </w:r>
    </w:p>
    <w:p w14:paraId="28C34680" w14:textId="77777777" w:rsidR="00C97515" w:rsidRPr="00F8720B" w:rsidRDefault="00C97515" w:rsidP="00C97515">
      <w:pPr>
        <w:pStyle w:val="ListParagraph"/>
        <w:numPr>
          <w:ilvl w:val="0"/>
          <w:numId w:val="4"/>
        </w:numPr>
        <w:spacing w:after="0"/>
        <w:rPr>
          <w:rFonts w:asciiTheme="majorHAnsi" w:hAnsiTheme="majorHAnsi" w:cs="Calibri"/>
          <w:b/>
        </w:rPr>
      </w:pPr>
      <w:r>
        <w:rPr>
          <w:rFonts w:asciiTheme="majorHAnsi" w:hAnsiTheme="majorHAnsi" w:cs="Calibri"/>
        </w:rPr>
        <w:t xml:space="preserve">Fees are charged on a daily basis and vary depending on the families Child Care Rebate (CCR) and Child Care Benefit (CCB) entitlements. </w:t>
      </w:r>
    </w:p>
    <w:p w14:paraId="66746734" w14:textId="77777777" w:rsidR="00C97515" w:rsidRPr="00F8720B" w:rsidRDefault="00C97515" w:rsidP="00C97515">
      <w:pPr>
        <w:pStyle w:val="ListParagraph"/>
        <w:numPr>
          <w:ilvl w:val="0"/>
          <w:numId w:val="4"/>
        </w:numPr>
        <w:spacing w:after="0"/>
        <w:rPr>
          <w:rFonts w:asciiTheme="majorHAnsi" w:hAnsiTheme="majorHAnsi" w:cs="Calibri"/>
          <w:b/>
        </w:rPr>
      </w:pPr>
      <w:r>
        <w:rPr>
          <w:rFonts w:asciiTheme="majorHAnsi" w:hAnsiTheme="majorHAnsi" w:cs="Calibri"/>
        </w:rPr>
        <w:t xml:space="preserve">Fees must be kept in advance of a child’s attendance at all times </w:t>
      </w:r>
    </w:p>
    <w:p w14:paraId="1AA81367" w14:textId="77777777" w:rsidR="00C97515" w:rsidRPr="00F8720B" w:rsidRDefault="00C97515" w:rsidP="00C97515">
      <w:pPr>
        <w:pStyle w:val="ListParagraph"/>
        <w:numPr>
          <w:ilvl w:val="0"/>
          <w:numId w:val="4"/>
        </w:numPr>
        <w:spacing w:after="0"/>
        <w:rPr>
          <w:rFonts w:asciiTheme="majorHAnsi" w:hAnsiTheme="majorHAnsi" w:cs="Calibri"/>
          <w:b/>
        </w:rPr>
      </w:pPr>
      <w:r>
        <w:rPr>
          <w:rFonts w:asciiTheme="majorHAnsi" w:hAnsiTheme="majorHAnsi" w:cs="Calibri"/>
        </w:rPr>
        <w:t xml:space="preserve">Fees are to be paid </w:t>
      </w:r>
      <w:r w:rsidRPr="00E1015D">
        <w:rPr>
          <w:rFonts w:asciiTheme="majorHAnsi" w:hAnsiTheme="majorHAnsi" w:cs="Calibri"/>
          <w:color w:val="000000" w:themeColor="text1"/>
        </w:rPr>
        <w:t xml:space="preserve">weekly or fortnightly </w:t>
      </w:r>
      <w:r w:rsidRPr="00E1015D">
        <w:rPr>
          <w:rFonts w:asciiTheme="majorHAnsi" w:hAnsiTheme="majorHAnsi" w:cs="Calibri"/>
          <w:color w:val="000000" w:themeColor="text1"/>
        </w:rPr>
        <w:t xml:space="preserve">through a direct debit system. </w:t>
      </w:r>
    </w:p>
    <w:p w14:paraId="3CFD2445" w14:textId="77777777" w:rsidR="00C97515" w:rsidRPr="00F8720B" w:rsidRDefault="00C97515" w:rsidP="00C97515">
      <w:pPr>
        <w:pStyle w:val="ListParagraph"/>
        <w:numPr>
          <w:ilvl w:val="0"/>
          <w:numId w:val="4"/>
        </w:numPr>
        <w:spacing w:after="0"/>
        <w:rPr>
          <w:rFonts w:asciiTheme="majorHAnsi" w:hAnsiTheme="majorHAnsi" w:cs="Calibri"/>
          <w:b/>
        </w:rPr>
      </w:pPr>
      <w:r w:rsidRPr="00F8720B">
        <w:rPr>
          <w:rFonts w:asciiTheme="majorHAnsi" w:hAnsiTheme="majorHAnsi" w:cs="Calibri"/>
        </w:rPr>
        <w:t>Fees are payable in</w:t>
      </w:r>
      <w:r>
        <w:rPr>
          <w:rFonts w:asciiTheme="majorHAnsi" w:hAnsiTheme="majorHAnsi" w:cs="Calibri"/>
        </w:rPr>
        <w:t xml:space="preserve"> advance for every day that a</w:t>
      </w:r>
      <w:r w:rsidRPr="00F8720B">
        <w:rPr>
          <w:rFonts w:asciiTheme="majorHAnsi" w:hAnsiTheme="majorHAnsi" w:cs="Calibri"/>
        </w:rPr>
        <w:t xml:space="preserve"> child is enrolled at the service. This includes pupil free days, sick days and family holidays but excludes periods when the service is closed</w:t>
      </w:r>
    </w:p>
    <w:p w14:paraId="56653A57" w14:textId="77777777" w:rsidR="00C97515" w:rsidRPr="00F8720B" w:rsidRDefault="00C97515" w:rsidP="00C97515">
      <w:pPr>
        <w:pStyle w:val="ListParagraph"/>
        <w:numPr>
          <w:ilvl w:val="0"/>
          <w:numId w:val="4"/>
        </w:numPr>
        <w:spacing w:after="0"/>
        <w:rPr>
          <w:rFonts w:asciiTheme="majorHAnsi" w:hAnsiTheme="majorHAnsi" w:cs="Calibri"/>
          <w:b/>
        </w:rPr>
      </w:pPr>
      <w:r>
        <w:rPr>
          <w:rFonts w:asciiTheme="majorHAnsi" w:hAnsiTheme="majorHAnsi" w:cs="Calibri"/>
        </w:rPr>
        <w:t>F</w:t>
      </w:r>
      <w:r w:rsidR="00E1015D">
        <w:rPr>
          <w:rFonts w:asciiTheme="majorHAnsi" w:hAnsiTheme="majorHAnsi"/>
        </w:rPr>
        <w:t xml:space="preserve">ees are charged at full session times </w:t>
      </w:r>
      <w:r w:rsidRPr="00F8720B">
        <w:rPr>
          <w:rFonts w:asciiTheme="majorHAnsi" w:hAnsiTheme="majorHAnsi"/>
        </w:rPr>
        <w:t>only (no matter what the attendance hours are)</w:t>
      </w:r>
    </w:p>
    <w:p w14:paraId="047BFC31" w14:textId="77777777" w:rsidR="00C97515" w:rsidRPr="00D21D86" w:rsidRDefault="00C97515" w:rsidP="00C97515">
      <w:pPr>
        <w:pStyle w:val="ListParagraph"/>
        <w:numPr>
          <w:ilvl w:val="0"/>
          <w:numId w:val="4"/>
        </w:numPr>
        <w:spacing w:after="0"/>
        <w:rPr>
          <w:rFonts w:asciiTheme="majorHAnsi" w:hAnsiTheme="majorHAnsi" w:cs="Calibri"/>
          <w:b/>
        </w:rPr>
      </w:pPr>
      <w:r w:rsidRPr="00F8720B">
        <w:rPr>
          <w:rFonts w:asciiTheme="majorHAnsi" w:hAnsiTheme="majorHAnsi" w:cs="Calibri"/>
        </w:rPr>
        <w:lastRenderedPageBreak/>
        <w:t xml:space="preserve">Child Care Benefit (CCB) and Child Care Rebate (CCR) is available to all families who are Australian Residents. To find out about eligibility, families must contact the Family Assistance Office. </w:t>
      </w:r>
      <w:r w:rsidR="00E1015D">
        <w:rPr>
          <w:rFonts w:asciiTheme="majorHAnsi" w:hAnsiTheme="majorHAnsi" w:cs="Calibri"/>
        </w:rPr>
        <w:t>(136 150)</w:t>
      </w:r>
    </w:p>
    <w:p w14:paraId="23869C73" w14:textId="77777777" w:rsidR="00C97515" w:rsidRDefault="00C97515" w:rsidP="00C97515">
      <w:pPr>
        <w:spacing w:after="0" w:line="276" w:lineRule="auto"/>
        <w:rPr>
          <w:rFonts w:asciiTheme="majorHAnsi" w:hAnsiTheme="majorHAnsi" w:cs="Calibri"/>
        </w:rPr>
      </w:pPr>
    </w:p>
    <w:p w14:paraId="7E2CA78A" w14:textId="77777777" w:rsidR="00C97515" w:rsidRDefault="00C97515" w:rsidP="00C97515">
      <w:pPr>
        <w:spacing w:after="0" w:line="276" w:lineRule="auto"/>
        <w:ind w:left="780"/>
        <w:rPr>
          <w:rFonts w:asciiTheme="majorHAnsi" w:hAnsiTheme="majorHAnsi" w:cs="Calibri"/>
          <w:b/>
        </w:rPr>
      </w:pPr>
      <w:r w:rsidRPr="00B140AD">
        <w:rPr>
          <w:rFonts w:asciiTheme="majorHAnsi" w:hAnsiTheme="majorHAnsi" w:cs="Calibri"/>
          <w:b/>
        </w:rPr>
        <w:t>Payment of fees</w:t>
      </w:r>
    </w:p>
    <w:p w14:paraId="12244914" w14:textId="77777777" w:rsidR="00C97515" w:rsidRPr="00C97515" w:rsidRDefault="00C97515" w:rsidP="00C97515">
      <w:pPr>
        <w:pStyle w:val="ListParagraph"/>
        <w:numPr>
          <w:ilvl w:val="0"/>
          <w:numId w:val="5"/>
        </w:numPr>
        <w:spacing w:after="0" w:line="276" w:lineRule="auto"/>
        <w:rPr>
          <w:rFonts w:asciiTheme="majorHAnsi" w:hAnsiTheme="majorHAnsi" w:cs="Calibri"/>
          <w:b/>
        </w:rPr>
      </w:pPr>
      <w:r>
        <w:rPr>
          <w:rFonts w:asciiTheme="majorHAnsi" w:hAnsiTheme="majorHAnsi" w:cs="Calibri"/>
        </w:rPr>
        <w:t>Fe</w:t>
      </w:r>
      <w:r>
        <w:rPr>
          <w:rFonts w:asciiTheme="majorHAnsi" w:hAnsiTheme="majorHAnsi" w:cs="Calibri"/>
        </w:rPr>
        <w:t>es are set up using EziDebit.</w:t>
      </w:r>
    </w:p>
    <w:p w14:paraId="15144621" w14:textId="77777777" w:rsidR="00C97515" w:rsidRPr="00E1015D" w:rsidRDefault="00C97515" w:rsidP="00C97515">
      <w:pPr>
        <w:pStyle w:val="ListParagraph"/>
        <w:numPr>
          <w:ilvl w:val="0"/>
          <w:numId w:val="5"/>
        </w:numPr>
        <w:spacing w:after="0" w:line="276" w:lineRule="auto"/>
        <w:rPr>
          <w:rFonts w:asciiTheme="majorHAnsi" w:hAnsiTheme="majorHAnsi" w:cs="Calibri"/>
          <w:b/>
        </w:rPr>
      </w:pPr>
      <w:r>
        <w:rPr>
          <w:rFonts w:asciiTheme="majorHAnsi" w:hAnsiTheme="majorHAnsi" w:cs="Calibri"/>
        </w:rPr>
        <w:t xml:space="preserve">The EziDebit forms will be in the </w:t>
      </w:r>
      <w:r w:rsidR="00E1015D">
        <w:rPr>
          <w:rFonts w:asciiTheme="majorHAnsi" w:hAnsiTheme="majorHAnsi" w:cs="Calibri"/>
        </w:rPr>
        <w:t>enrolment</w:t>
      </w:r>
      <w:r>
        <w:rPr>
          <w:rFonts w:asciiTheme="majorHAnsi" w:hAnsiTheme="majorHAnsi" w:cs="Calibri"/>
        </w:rPr>
        <w:t xml:space="preserve"> pack and must be filled out prior to start date.</w:t>
      </w:r>
    </w:p>
    <w:p w14:paraId="45D32CDD" w14:textId="77777777" w:rsidR="00C97515" w:rsidRPr="00B140AD" w:rsidRDefault="00C97515" w:rsidP="00C97515">
      <w:pPr>
        <w:pStyle w:val="ListParagraph"/>
        <w:numPr>
          <w:ilvl w:val="0"/>
          <w:numId w:val="5"/>
        </w:numPr>
        <w:spacing w:after="0" w:line="276" w:lineRule="auto"/>
        <w:rPr>
          <w:rFonts w:asciiTheme="majorHAnsi" w:hAnsiTheme="majorHAnsi" w:cs="Calibri"/>
          <w:b/>
        </w:rPr>
      </w:pPr>
      <w:r>
        <w:rPr>
          <w:rFonts w:asciiTheme="majorHAnsi" w:hAnsiTheme="majorHAnsi" w:cs="Calibri"/>
        </w:rPr>
        <w:t xml:space="preserve">Families will be issued with a fee statement on a </w:t>
      </w:r>
      <w:r>
        <w:rPr>
          <w:rFonts w:asciiTheme="majorHAnsi" w:hAnsiTheme="majorHAnsi" w:cs="Calibri"/>
        </w:rPr>
        <w:t>weekly</w:t>
      </w:r>
      <w:r>
        <w:rPr>
          <w:rFonts w:asciiTheme="majorHAnsi" w:hAnsiTheme="majorHAnsi" w:cs="Calibri"/>
        </w:rPr>
        <w:t xml:space="preserve"> basis in accordance with the fee payme</w:t>
      </w:r>
      <w:r>
        <w:rPr>
          <w:rFonts w:asciiTheme="majorHAnsi" w:hAnsiTheme="majorHAnsi" w:cs="Calibri"/>
        </w:rPr>
        <w:t>nt and Regulatory requirements, or upon request.</w:t>
      </w:r>
    </w:p>
    <w:p w14:paraId="516D020F" w14:textId="77777777" w:rsidR="00C97515" w:rsidRPr="00D21D86" w:rsidRDefault="00C97515" w:rsidP="00C97515">
      <w:pPr>
        <w:pStyle w:val="ListParagraph"/>
        <w:numPr>
          <w:ilvl w:val="0"/>
          <w:numId w:val="5"/>
        </w:numPr>
        <w:spacing w:after="0" w:line="276" w:lineRule="auto"/>
        <w:rPr>
          <w:rFonts w:asciiTheme="majorHAnsi" w:hAnsiTheme="majorHAnsi" w:cs="Calibri"/>
          <w:b/>
        </w:rPr>
      </w:pPr>
      <w:r>
        <w:rPr>
          <w:rFonts w:asciiTheme="majorHAnsi" w:hAnsiTheme="majorHAnsi" w:cs="Calibri"/>
        </w:rPr>
        <w:t xml:space="preserve">A dishonor fee will apply for direct debit transactions where there are insufficient funds to cover the fees. </w:t>
      </w:r>
    </w:p>
    <w:p w14:paraId="58F70737" w14:textId="77777777" w:rsidR="00F97E9C" w:rsidRDefault="00F97E9C" w:rsidP="00F97E9C">
      <w:pPr>
        <w:spacing w:after="0" w:line="276" w:lineRule="auto"/>
        <w:ind w:left="780"/>
        <w:rPr>
          <w:rFonts w:asciiTheme="majorHAnsi" w:hAnsiTheme="majorHAnsi" w:cs="Calibri"/>
          <w:b/>
        </w:rPr>
      </w:pPr>
    </w:p>
    <w:p w14:paraId="455E4851" w14:textId="58CEC71C" w:rsidR="00F97E9C" w:rsidRDefault="00F97E9C" w:rsidP="00F97E9C">
      <w:pPr>
        <w:spacing w:after="0" w:line="276" w:lineRule="auto"/>
        <w:ind w:left="780"/>
        <w:rPr>
          <w:rFonts w:asciiTheme="majorHAnsi" w:hAnsiTheme="majorHAnsi" w:cs="Calibri"/>
          <w:b/>
        </w:rPr>
      </w:pPr>
      <w:r>
        <w:rPr>
          <w:rFonts w:asciiTheme="majorHAnsi" w:hAnsiTheme="majorHAnsi" w:cs="Calibri"/>
          <w:b/>
        </w:rPr>
        <w:t>Debt Collection</w:t>
      </w:r>
    </w:p>
    <w:p w14:paraId="70D0CB6D" w14:textId="127ADBF1" w:rsidR="00F97E9C" w:rsidRPr="00E047B8" w:rsidRDefault="00F97E9C" w:rsidP="00E047B8">
      <w:pPr>
        <w:pStyle w:val="ListParagraph"/>
        <w:numPr>
          <w:ilvl w:val="0"/>
          <w:numId w:val="5"/>
        </w:numPr>
        <w:spacing w:after="0" w:line="276" w:lineRule="auto"/>
        <w:rPr>
          <w:rFonts w:asciiTheme="majorHAnsi" w:hAnsiTheme="majorHAnsi" w:cs="Calibri"/>
          <w:b/>
        </w:rPr>
      </w:pPr>
      <w:r>
        <w:rPr>
          <w:rFonts w:asciiTheme="majorHAnsi" w:hAnsiTheme="majorHAnsi" w:cs="Calibri"/>
        </w:rPr>
        <w:t>On a weekly basis management will contact families who are indebted for a period greater than one week</w:t>
      </w:r>
      <w:r>
        <w:rPr>
          <w:rFonts w:asciiTheme="majorHAnsi" w:hAnsiTheme="majorHAnsi" w:cs="Calibri"/>
        </w:rPr>
        <w:t>.</w:t>
      </w:r>
      <w:r>
        <w:rPr>
          <w:rFonts w:asciiTheme="majorHAnsi" w:hAnsiTheme="majorHAnsi" w:cs="Calibri"/>
        </w:rPr>
        <w:t xml:space="preserve"> These families have the option to pay the debt in full or organize a payment program </w:t>
      </w:r>
      <w:r w:rsidR="00E047B8">
        <w:rPr>
          <w:rFonts w:asciiTheme="majorHAnsi" w:hAnsiTheme="majorHAnsi" w:cs="Calibri"/>
        </w:rPr>
        <w:t>via EziDebit with</w:t>
      </w:r>
      <w:r>
        <w:rPr>
          <w:rFonts w:asciiTheme="majorHAnsi" w:hAnsiTheme="majorHAnsi" w:cs="Calibri"/>
        </w:rPr>
        <w:t xml:space="preserve"> management.</w:t>
      </w:r>
      <w:r w:rsidR="00E047B8">
        <w:rPr>
          <w:rFonts w:asciiTheme="majorHAnsi" w:hAnsiTheme="majorHAnsi" w:cs="Calibri"/>
        </w:rPr>
        <w:t xml:space="preserve"> </w:t>
      </w:r>
      <w:r w:rsidRPr="00E047B8">
        <w:rPr>
          <w:rFonts w:asciiTheme="majorHAnsi" w:hAnsiTheme="majorHAnsi" w:cs="Calibri"/>
        </w:rPr>
        <w:t>If neither of the options are taken</w:t>
      </w:r>
      <w:r w:rsidR="00E047B8">
        <w:rPr>
          <w:rFonts w:asciiTheme="majorHAnsi" w:hAnsiTheme="majorHAnsi" w:cs="Calibri"/>
        </w:rPr>
        <w:t>,</w:t>
      </w:r>
      <w:r w:rsidRPr="00E047B8">
        <w:rPr>
          <w:rFonts w:asciiTheme="majorHAnsi" w:hAnsiTheme="majorHAnsi" w:cs="Calibri"/>
        </w:rPr>
        <w:t xml:space="preserve"> care will be ceased and legal action sought.</w:t>
      </w:r>
    </w:p>
    <w:p w14:paraId="1519139B" w14:textId="0FF9BBC6" w:rsidR="00F97E9C" w:rsidRPr="00B140AD" w:rsidRDefault="00E047B8" w:rsidP="00F97E9C">
      <w:pPr>
        <w:pStyle w:val="ListParagraph"/>
        <w:numPr>
          <w:ilvl w:val="0"/>
          <w:numId w:val="5"/>
        </w:numPr>
        <w:spacing w:after="0" w:line="276" w:lineRule="auto"/>
        <w:rPr>
          <w:rFonts w:asciiTheme="majorHAnsi" w:hAnsiTheme="majorHAnsi" w:cs="Calibri"/>
          <w:b/>
        </w:rPr>
      </w:pPr>
      <w:r>
        <w:rPr>
          <w:rFonts w:asciiTheme="majorHAnsi" w:hAnsiTheme="majorHAnsi" w:cs="Calibri"/>
        </w:rPr>
        <w:t>A text message will then be sent, stating the overdue amount, and notifying that there is 7 days to pay with the name of the debt collector company it will then be handed on to.</w:t>
      </w:r>
    </w:p>
    <w:p w14:paraId="7E11D049" w14:textId="3E2207B8" w:rsidR="00F97E9C" w:rsidRPr="00E047B8" w:rsidRDefault="00E047B8" w:rsidP="00F97E9C">
      <w:pPr>
        <w:pStyle w:val="ListParagraph"/>
        <w:numPr>
          <w:ilvl w:val="0"/>
          <w:numId w:val="5"/>
        </w:numPr>
        <w:spacing w:after="0" w:line="276" w:lineRule="auto"/>
        <w:rPr>
          <w:rFonts w:asciiTheme="majorHAnsi" w:hAnsiTheme="majorHAnsi" w:cs="Calibri"/>
          <w:b/>
        </w:rPr>
      </w:pPr>
      <w:r>
        <w:rPr>
          <w:rFonts w:asciiTheme="majorHAnsi" w:hAnsiTheme="majorHAnsi" w:cs="Calibri"/>
        </w:rPr>
        <w:t>If unsuccessful a letter of demand will be sent to the family outlining the same information as above.</w:t>
      </w:r>
    </w:p>
    <w:p w14:paraId="3A8EEC98" w14:textId="3B207D6C" w:rsidR="00E047B8" w:rsidRPr="00D21D86" w:rsidRDefault="00E047B8" w:rsidP="00F97E9C">
      <w:pPr>
        <w:pStyle w:val="ListParagraph"/>
        <w:numPr>
          <w:ilvl w:val="0"/>
          <w:numId w:val="5"/>
        </w:numPr>
        <w:spacing w:after="0" w:line="276" w:lineRule="auto"/>
        <w:rPr>
          <w:rFonts w:asciiTheme="majorHAnsi" w:hAnsiTheme="majorHAnsi" w:cs="Calibri"/>
          <w:b/>
        </w:rPr>
      </w:pPr>
      <w:r>
        <w:rPr>
          <w:rFonts w:asciiTheme="majorHAnsi" w:hAnsiTheme="majorHAnsi" w:cs="Calibri"/>
        </w:rPr>
        <w:t>If still unsuccessful it will then be handed to a debt collector, all debt collection costs and expenses will be passed on to the client.</w:t>
      </w:r>
    </w:p>
    <w:p w14:paraId="5DF4E93E" w14:textId="77777777" w:rsidR="00C97515" w:rsidRDefault="00C97515" w:rsidP="00C97515">
      <w:pPr>
        <w:spacing w:after="0" w:line="276" w:lineRule="auto"/>
        <w:ind w:left="780"/>
        <w:rPr>
          <w:rFonts w:asciiTheme="majorHAnsi" w:hAnsiTheme="majorHAnsi" w:cs="Calibri"/>
          <w:b/>
        </w:rPr>
      </w:pPr>
    </w:p>
    <w:p w14:paraId="17A4C9AA" w14:textId="77777777" w:rsidR="00C97515" w:rsidRDefault="00C97515" w:rsidP="00C97515">
      <w:pPr>
        <w:spacing w:after="0" w:line="276" w:lineRule="auto"/>
        <w:ind w:left="780"/>
        <w:rPr>
          <w:rFonts w:asciiTheme="majorHAnsi" w:hAnsiTheme="majorHAnsi" w:cs="Calibri"/>
          <w:b/>
        </w:rPr>
      </w:pPr>
      <w:r>
        <w:rPr>
          <w:rFonts w:asciiTheme="majorHAnsi" w:hAnsiTheme="majorHAnsi" w:cs="Calibri"/>
          <w:b/>
        </w:rPr>
        <w:t xml:space="preserve">Financial Difficulties </w:t>
      </w:r>
    </w:p>
    <w:p w14:paraId="27D945F1" w14:textId="77777777" w:rsidR="00C97515" w:rsidRPr="00D21D86" w:rsidRDefault="00C97515" w:rsidP="00C97515">
      <w:pPr>
        <w:pStyle w:val="ListParagraph"/>
        <w:numPr>
          <w:ilvl w:val="0"/>
          <w:numId w:val="6"/>
        </w:numPr>
        <w:spacing w:after="0" w:line="276" w:lineRule="auto"/>
        <w:rPr>
          <w:rFonts w:asciiTheme="majorHAnsi" w:hAnsiTheme="majorHAnsi" w:cs="Calibri"/>
        </w:rPr>
      </w:pPr>
      <w:r>
        <w:rPr>
          <w:rFonts w:asciiTheme="majorHAnsi" w:hAnsiTheme="majorHAnsi" w:cs="Calibri"/>
        </w:rPr>
        <w:t xml:space="preserve">If a family is experiencing financial difficulties, a suitable payment plan may be arranged with </w:t>
      </w:r>
      <w:r w:rsidR="00E1015D">
        <w:rPr>
          <w:rFonts w:asciiTheme="majorHAnsi" w:hAnsiTheme="majorHAnsi" w:cs="Calibri"/>
        </w:rPr>
        <w:t>authorization</w:t>
      </w:r>
      <w:r>
        <w:rPr>
          <w:rFonts w:asciiTheme="majorHAnsi" w:hAnsiTheme="majorHAnsi" w:cs="Calibri"/>
        </w:rPr>
        <w:t xml:space="preserve"> of </w:t>
      </w:r>
      <w:r>
        <w:rPr>
          <w:rFonts w:asciiTheme="majorHAnsi" w:hAnsiTheme="majorHAnsi" w:cs="Calibri"/>
        </w:rPr>
        <w:t>Leigh Metcalf at Waratah All Year Care.</w:t>
      </w:r>
      <w:r>
        <w:rPr>
          <w:rFonts w:asciiTheme="majorHAnsi" w:hAnsiTheme="majorHAnsi" w:cs="Calibri"/>
        </w:rPr>
        <w:t xml:space="preserve"> </w:t>
      </w:r>
    </w:p>
    <w:p w14:paraId="555CF774" w14:textId="77777777" w:rsidR="00C97515" w:rsidRDefault="00C97515" w:rsidP="00C97515">
      <w:pPr>
        <w:spacing w:after="0" w:line="276" w:lineRule="auto"/>
        <w:rPr>
          <w:rFonts w:asciiTheme="majorHAnsi" w:hAnsiTheme="majorHAnsi" w:cs="Calibri"/>
        </w:rPr>
      </w:pPr>
    </w:p>
    <w:p w14:paraId="6A8E133A" w14:textId="77777777" w:rsidR="00C97515" w:rsidRDefault="00C97515" w:rsidP="00C97515">
      <w:pPr>
        <w:spacing w:after="0" w:line="276" w:lineRule="auto"/>
        <w:ind w:left="708"/>
        <w:rPr>
          <w:rFonts w:asciiTheme="majorHAnsi" w:hAnsiTheme="majorHAnsi" w:cs="Calibri"/>
          <w:b/>
        </w:rPr>
      </w:pPr>
      <w:r>
        <w:rPr>
          <w:rFonts w:asciiTheme="majorHAnsi" w:hAnsiTheme="majorHAnsi" w:cs="Calibri"/>
          <w:b/>
        </w:rPr>
        <w:t>Late Fees</w:t>
      </w:r>
    </w:p>
    <w:p w14:paraId="67847C19" w14:textId="77777777" w:rsidR="00C97515" w:rsidRDefault="00C97515" w:rsidP="00C97515">
      <w:pPr>
        <w:pStyle w:val="ListParagraph"/>
        <w:numPr>
          <w:ilvl w:val="0"/>
          <w:numId w:val="6"/>
        </w:numPr>
        <w:spacing w:after="0" w:line="276" w:lineRule="auto"/>
        <w:rPr>
          <w:rFonts w:asciiTheme="majorHAnsi" w:hAnsiTheme="majorHAnsi" w:cs="Calibri"/>
        </w:rPr>
      </w:pPr>
      <w:r>
        <w:rPr>
          <w:rFonts w:asciiTheme="majorHAnsi" w:hAnsiTheme="majorHAnsi" w:cs="Calibri"/>
        </w:rPr>
        <w:t xml:space="preserve">It is unacceptable to pick children up late from </w:t>
      </w:r>
      <w:r w:rsidR="00E1015D">
        <w:rPr>
          <w:rFonts w:asciiTheme="majorHAnsi" w:hAnsiTheme="majorHAnsi" w:cs="Calibri"/>
        </w:rPr>
        <w:t>Waratah All Year Care</w:t>
      </w:r>
      <w:r>
        <w:rPr>
          <w:rFonts w:asciiTheme="majorHAnsi" w:hAnsiTheme="majorHAnsi" w:cs="Calibri"/>
        </w:rPr>
        <w:t>. A late fee will apply where children are not picked up prio</w:t>
      </w:r>
      <w:r>
        <w:rPr>
          <w:rFonts w:asciiTheme="majorHAnsi" w:hAnsiTheme="majorHAnsi" w:cs="Calibri"/>
        </w:rPr>
        <w:t>r to closing time. Currently the fee is</w:t>
      </w:r>
      <w:r>
        <w:rPr>
          <w:rFonts w:asciiTheme="majorHAnsi" w:hAnsiTheme="majorHAnsi" w:cs="Calibri"/>
        </w:rPr>
        <w:t xml:space="preserve"> $1</w:t>
      </w:r>
      <w:r>
        <w:rPr>
          <w:rFonts w:asciiTheme="majorHAnsi" w:hAnsiTheme="majorHAnsi" w:cs="Calibri"/>
        </w:rPr>
        <w:t>.00 per minute</w:t>
      </w:r>
      <w:r w:rsidR="00E1015D">
        <w:rPr>
          <w:rFonts w:asciiTheme="majorHAnsi" w:hAnsiTheme="majorHAnsi" w:cs="Calibri"/>
        </w:rPr>
        <w:t>, per child</w:t>
      </w:r>
      <w:r>
        <w:rPr>
          <w:rFonts w:asciiTheme="majorHAnsi" w:hAnsiTheme="majorHAnsi" w:cs="Calibri"/>
        </w:rPr>
        <w:t>.</w:t>
      </w:r>
      <w:r>
        <w:rPr>
          <w:rFonts w:asciiTheme="majorHAnsi" w:hAnsiTheme="majorHAnsi" w:cs="Calibri"/>
        </w:rPr>
        <w:t xml:space="preserve"> </w:t>
      </w:r>
    </w:p>
    <w:p w14:paraId="6099B7BA" w14:textId="77777777" w:rsidR="00C97515" w:rsidRPr="001A619B" w:rsidRDefault="00C97515" w:rsidP="00C97515">
      <w:pPr>
        <w:pStyle w:val="ListParagraph"/>
        <w:numPr>
          <w:ilvl w:val="0"/>
          <w:numId w:val="6"/>
        </w:numPr>
        <w:spacing w:after="0" w:line="276" w:lineRule="auto"/>
        <w:rPr>
          <w:rFonts w:asciiTheme="majorHAnsi" w:hAnsiTheme="majorHAnsi" w:cs="Calibri"/>
        </w:rPr>
      </w:pPr>
      <w:r>
        <w:rPr>
          <w:rFonts w:asciiTheme="majorHAnsi" w:hAnsiTheme="majorHAnsi" w:cs="Calibri"/>
        </w:rPr>
        <w:t>A review of the child’s enrolment will occur where families are consistently late.</w:t>
      </w:r>
    </w:p>
    <w:p w14:paraId="042A42F3" w14:textId="77777777" w:rsidR="00C97515" w:rsidRDefault="00C97515" w:rsidP="00C97515">
      <w:pPr>
        <w:spacing w:after="0" w:line="276" w:lineRule="auto"/>
        <w:rPr>
          <w:rFonts w:asciiTheme="majorHAnsi" w:hAnsiTheme="majorHAnsi" w:cs="Calibri"/>
        </w:rPr>
      </w:pPr>
    </w:p>
    <w:p w14:paraId="645718BA" w14:textId="77777777" w:rsidR="00C97515" w:rsidRPr="00B140AD" w:rsidRDefault="00C97515" w:rsidP="00C97515">
      <w:pPr>
        <w:spacing w:after="0" w:line="276" w:lineRule="auto"/>
        <w:ind w:left="708"/>
        <w:rPr>
          <w:rFonts w:asciiTheme="majorHAnsi" w:hAnsiTheme="majorHAnsi" w:cs="Calibri"/>
          <w:b/>
        </w:rPr>
      </w:pPr>
      <w:r w:rsidRPr="00B140AD">
        <w:rPr>
          <w:rFonts w:asciiTheme="majorHAnsi" w:hAnsiTheme="majorHAnsi" w:cs="Calibri"/>
          <w:b/>
        </w:rPr>
        <w:t>Change of Fees</w:t>
      </w:r>
    </w:p>
    <w:p w14:paraId="7C5C771A" w14:textId="77777777" w:rsidR="00C97515" w:rsidRDefault="00C97515" w:rsidP="00C97515">
      <w:pPr>
        <w:pStyle w:val="ListParagraph"/>
        <w:numPr>
          <w:ilvl w:val="0"/>
          <w:numId w:val="7"/>
        </w:numPr>
        <w:spacing w:after="0" w:line="276" w:lineRule="auto"/>
        <w:rPr>
          <w:rFonts w:asciiTheme="majorHAnsi" w:hAnsiTheme="majorHAnsi" w:cs="Calibri"/>
        </w:rPr>
      </w:pPr>
      <w:r>
        <w:rPr>
          <w:rFonts w:asciiTheme="majorHAnsi" w:hAnsiTheme="majorHAnsi" w:cs="Calibri"/>
        </w:rPr>
        <w:t>Fees are subject to change at any time provided a minimum of</w:t>
      </w:r>
      <w:r w:rsidR="00E1015D">
        <w:rPr>
          <w:rFonts w:asciiTheme="majorHAnsi" w:hAnsiTheme="majorHAnsi" w:cs="Calibri"/>
        </w:rPr>
        <w:t xml:space="preserve"> two</w:t>
      </w:r>
      <w:r>
        <w:rPr>
          <w:rFonts w:asciiTheme="majorHAnsi" w:hAnsiTheme="majorHAnsi" w:cs="Calibri"/>
        </w:rPr>
        <w:t xml:space="preserve"> weeks written notice is given to all families </w:t>
      </w:r>
    </w:p>
    <w:p w14:paraId="025210FE" w14:textId="77777777" w:rsidR="00C97515" w:rsidRDefault="00C97515" w:rsidP="00C97515">
      <w:pPr>
        <w:spacing w:after="0" w:line="276" w:lineRule="auto"/>
        <w:rPr>
          <w:rFonts w:asciiTheme="majorHAnsi" w:hAnsiTheme="majorHAnsi" w:cs="Calibri"/>
        </w:rPr>
      </w:pPr>
    </w:p>
    <w:p w14:paraId="21628D28" w14:textId="77777777" w:rsidR="00C97515" w:rsidRPr="00904696" w:rsidRDefault="00C97515" w:rsidP="00C97515">
      <w:pPr>
        <w:spacing w:after="0" w:line="276" w:lineRule="auto"/>
        <w:ind w:left="708"/>
        <w:rPr>
          <w:rFonts w:asciiTheme="majorHAnsi" w:hAnsiTheme="majorHAnsi" w:cs="Calibri"/>
          <w:b/>
        </w:rPr>
      </w:pPr>
      <w:r w:rsidRPr="00904696">
        <w:rPr>
          <w:rFonts w:asciiTheme="majorHAnsi" w:hAnsiTheme="majorHAnsi" w:cs="Calibri"/>
          <w:b/>
        </w:rPr>
        <w:t xml:space="preserve">Termination of Enrolment </w:t>
      </w:r>
    </w:p>
    <w:p w14:paraId="5CCE09CE" w14:textId="77777777" w:rsidR="00C97515" w:rsidRDefault="00FB2C0E" w:rsidP="00C97515">
      <w:pPr>
        <w:pStyle w:val="ListParagraph"/>
        <w:numPr>
          <w:ilvl w:val="0"/>
          <w:numId w:val="7"/>
        </w:numPr>
        <w:spacing w:after="0" w:line="276" w:lineRule="auto"/>
        <w:rPr>
          <w:rFonts w:asciiTheme="majorHAnsi" w:hAnsiTheme="majorHAnsi" w:cs="Calibri"/>
        </w:rPr>
      </w:pPr>
      <w:r>
        <w:rPr>
          <w:rFonts w:asciiTheme="majorHAnsi" w:hAnsiTheme="majorHAnsi" w:cs="Calibri"/>
        </w:rPr>
        <w:t xml:space="preserve">Parents are to provide one week </w:t>
      </w:r>
      <w:r w:rsidR="00C97515">
        <w:rPr>
          <w:rFonts w:asciiTheme="majorHAnsi" w:hAnsiTheme="majorHAnsi" w:cs="Calibri"/>
        </w:rPr>
        <w:t xml:space="preserve">notice of their intention to withdraw a child from </w:t>
      </w:r>
      <w:r>
        <w:rPr>
          <w:rFonts w:asciiTheme="majorHAnsi" w:hAnsiTheme="majorHAnsi" w:cs="Calibri"/>
        </w:rPr>
        <w:t>Waratah All Year Care</w:t>
      </w:r>
      <w:r w:rsidR="00C97515">
        <w:rPr>
          <w:rFonts w:asciiTheme="majorHAnsi" w:hAnsiTheme="majorHAnsi" w:cs="Calibri"/>
        </w:rPr>
        <w:t xml:space="preserve">. </w:t>
      </w:r>
    </w:p>
    <w:p w14:paraId="675AFF3F" w14:textId="77777777" w:rsidR="00C97515" w:rsidRDefault="00C97515" w:rsidP="00C97515">
      <w:pPr>
        <w:pStyle w:val="ListParagraph"/>
        <w:numPr>
          <w:ilvl w:val="0"/>
          <w:numId w:val="7"/>
        </w:numPr>
        <w:spacing w:after="0" w:line="276" w:lineRule="auto"/>
        <w:rPr>
          <w:rFonts w:asciiTheme="majorHAnsi" w:hAnsiTheme="majorHAnsi" w:cs="Calibri"/>
        </w:rPr>
      </w:pPr>
      <w:r>
        <w:rPr>
          <w:rFonts w:asciiTheme="majorHAnsi" w:hAnsiTheme="majorHAnsi" w:cs="Calibri"/>
        </w:rPr>
        <w:t xml:space="preserve">If termination from </w:t>
      </w:r>
      <w:r w:rsidR="00FB2C0E">
        <w:rPr>
          <w:rFonts w:asciiTheme="majorHAnsi" w:hAnsiTheme="majorHAnsi" w:cs="Calibri"/>
        </w:rPr>
        <w:t>Waratah All Year Care</w:t>
      </w:r>
      <w:r>
        <w:rPr>
          <w:rFonts w:asciiTheme="majorHAnsi" w:hAnsiTheme="majorHAnsi" w:cs="Calibri"/>
        </w:rPr>
        <w:t xml:space="preserve"> is required without notification, families can lose their Child Care Benefit (CCB) and Child Care Rebate (CCR) resulting in the payment of full fees to be charged.  </w:t>
      </w:r>
    </w:p>
    <w:p w14:paraId="28FF04CE" w14:textId="77777777" w:rsidR="00C97515" w:rsidRPr="00FB2C0E" w:rsidRDefault="00C97515" w:rsidP="00C97515">
      <w:pPr>
        <w:pStyle w:val="ListParagraph"/>
        <w:numPr>
          <w:ilvl w:val="0"/>
          <w:numId w:val="7"/>
        </w:numPr>
        <w:spacing w:after="0" w:line="276" w:lineRule="auto"/>
        <w:rPr>
          <w:rFonts w:asciiTheme="majorHAnsi" w:hAnsiTheme="majorHAnsi" w:cs="Calibri"/>
        </w:rPr>
      </w:pPr>
      <w:r w:rsidRPr="00FB2C0E">
        <w:rPr>
          <w:rFonts w:asciiTheme="majorHAnsi" w:hAnsiTheme="majorHAnsi" w:cs="Calibri"/>
        </w:rPr>
        <w:t>If a child does not attend</w:t>
      </w:r>
      <w:r w:rsidR="00FB2C0E" w:rsidRPr="00FB2C0E">
        <w:rPr>
          <w:rFonts w:asciiTheme="majorHAnsi" w:hAnsiTheme="majorHAnsi" w:cs="Calibri"/>
        </w:rPr>
        <w:t xml:space="preserve"> the service on their last day</w:t>
      </w:r>
      <w:r w:rsidRPr="00FB2C0E">
        <w:rPr>
          <w:rFonts w:asciiTheme="majorHAnsi" w:hAnsiTheme="majorHAnsi" w:cs="Calibri"/>
        </w:rPr>
        <w:t xml:space="preserve">, this will result in cessation of care in accordance with Centrelink. Centrelink will forfeit your Child Care Benefit and Child Care Rebate and families will be required to pay the full fee to the service. </w:t>
      </w:r>
    </w:p>
    <w:p w14:paraId="5A682269" w14:textId="77777777" w:rsidR="00C97515" w:rsidRPr="00B140AD" w:rsidRDefault="00C97515" w:rsidP="00C97515">
      <w:pPr>
        <w:pStyle w:val="ListParagraph"/>
        <w:spacing w:after="0" w:line="276" w:lineRule="auto"/>
        <w:ind w:left="1428"/>
        <w:rPr>
          <w:rFonts w:asciiTheme="majorHAnsi" w:hAnsiTheme="majorHAnsi" w:cs="Calibri"/>
        </w:rPr>
      </w:pPr>
    </w:p>
    <w:p w14:paraId="67FCEC3C" w14:textId="77777777" w:rsidR="00C97515" w:rsidRDefault="00C97515" w:rsidP="00C97515">
      <w:pPr>
        <w:spacing w:after="0" w:line="276" w:lineRule="auto"/>
        <w:rPr>
          <w:rFonts w:asciiTheme="majorHAnsi" w:hAnsiTheme="majorHAnsi" w:cs="Calibri"/>
        </w:rPr>
      </w:pPr>
    </w:p>
    <w:p w14:paraId="6CFFAEAF" w14:textId="77777777" w:rsidR="00C97515" w:rsidRDefault="00C97515" w:rsidP="00C97515">
      <w:pPr>
        <w:spacing w:after="0" w:line="276" w:lineRule="auto"/>
        <w:ind w:left="708"/>
        <w:rPr>
          <w:rFonts w:asciiTheme="majorHAnsi" w:hAnsiTheme="majorHAnsi" w:cs="Calibri"/>
          <w:b/>
        </w:rPr>
      </w:pPr>
      <w:r>
        <w:rPr>
          <w:rFonts w:asciiTheme="majorHAnsi" w:hAnsiTheme="majorHAnsi" w:cs="Calibri"/>
          <w:b/>
        </w:rPr>
        <w:t xml:space="preserve">Responsibility of Management </w:t>
      </w:r>
    </w:p>
    <w:p w14:paraId="27DD5734" w14:textId="77777777" w:rsidR="00C97515" w:rsidRPr="00904696" w:rsidRDefault="00C97515" w:rsidP="00C97515">
      <w:pPr>
        <w:pStyle w:val="ListParagraph"/>
        <w:numPr>
          <w:ilvl w:val="0"/>
          <w:numId w:val="8"/>
        </w:numPr>
        <w:spacing w:after="0" w:line="276" w:lineRule="auto"/>
        <w:rPr>
          <w:rFonts w:asciiTheme="majorHAnsi" w:hAnsiTheme="majorHAnsi" w:cs="Calibri"/>
          <w:b/>
        </w:rPr>
      </w:pPr>
      <w:r>
        <w:rPr>
          <w:rFonts w:asciiTheme="majorHAnsi" w:hAnsiTheme="majorHAnsi" w:cs="Calibri"/>
        </w:rPr>
        <w:t xml:space="preserve">Leigh Metcalf </w:t>
      </w:r>
      <w:r>
        <w:rPr>
          <w:rFonts w:asciiTheme="majorHAnsi" w:hAnsiTheme="majorHAnsi" w:cs="Calibri"/>
        </w:rPr>
        <w:t xml:space="preserve">is responsible for the billing and chasing of fees. </w:t>
      </w:r>
    </w:p>
    <w:p w14:paraId="71672175" w14:textId="77777777" w:rsidR="00C97515" w:rsidRPr="00904696" w:rsidRDefault="00C97515" w:rsidP="00C97515">
      <w:pPr>
        <w:pStyle w:val="ListParagraph"/>
        <w:numPr>
          <w:ilvl w:val="0"/>
          <w:numId w:val="8"/>
        </w:numPr>
        <w:spacing w:after="0" w:line="276" w:lineRule="auto"/>
        <w:rPr>
          <w:rFonts w:asciiTheme="majorHAnsi" w:hAnsiTheme="majorHAnsi" w:cs="Calibri"/>
          <w:b/>
        </w:rPr>
      </w:pPr>
      <w:r>
        <w:rPr>
          <w:rFonts w:asciiTheme="majorHAnsi" w:hAnsiTheme="majorHAnsi" w:cs="Calibri"/>
        </w:rPr>
        <w:t xml:space="preserve">Should families wish to discuss fees, they will need to see </w:t>
      </w:r>
      <w:r>
        <w:rPr>
          <w:rFonts w:asciiTheme="majorHAnsi" w:hAnsiTheme="majorHAnsi" w:cs="Calibri"/>
        </w:rPr>
        <w:t>Leigh Metcalf</w:t>
      </w:r>
      <w:r>
        <w:rPr>
          <w:rFonts w:asciiTheme="majorHAnsi" w:hAnsiTheme="majorHAnsi" w:cs="Calibri"/>
        </w:rPr>
        <w:t xml:space="preserve">. </w:t>
      </w:r>
    </w:p>
    <w:bookmarkEnd w:id="0"/>
    <w:bookmarkEnd w:id="1"/>
    <w:p w14:paraId="70A2BD9F" w14:textId="02DE4D55" w:rsidR="00FB2C0E" w:rsidRDefault="00FB2C0E" w:rsidP="00C97515">
      <w:pPr>
        <w:spacing w:after="0"/>
        <w:rPr>
          <w:rFonts w:asciiTheme="majorHAnsi" w:hAnsiTheme="majorHAnsi" w:cs="Calibri"/>
        </w:rPr>
      </w:pPr>
    </w:p>
    <w:p w14:paraId="2E517B04" w14:textId="77777777" w:rsidR="00FB2C0E" w:rsidRPr="00A77B11" w:rsidRDefault="00FB2C0E" w:rsidP="00C97515">
      <w:pPr>
        <w:spacing w:after="0"/>
        <w:rPr>
          <w:rFonts w:asciiTheme="majorHAnsi" w:hAnsiTheme="majorHAnsi" w:cs="Calibri"/>
        </w:rPr>
      </w:pPr>
    </w:p>
    <w:p w14:paraId="06E924D8" w14:textId="77777777" w:rsidR="00C97515" w:rsidRPr="00BA44EB" w:rsidRDefault="00C97515" w:rsidP="00C97515">
      <w:pPr>
        <w:rPr>
          <w:rFonts w:asciiTheme="majorHAnsi" w:hAnsiTheme="majorHAnsi"/>
          <w:b/>
        </w:rPr>
      </w:pPr>
      <w:r w:rsidRPr="00BA44EB">
        <w:rPr>
          <w:rFonts w:asciiTheme="majorHAnsi" w:hAnsiTheme="majorHAnsi"/>
          <w:b/>
        </w:rPr>
        <w:t>Source</w:t>
      </w:r>
    </w:p>
    <w:tbl>
      <w:tblPr>
        <w:tblStyle w:val="GridTable1Light-Accent31"/>
        <w:tblW w:w="0" w:type="auto"/>
        <w:tblLook w:val="04A0" w:firstRow="1" w:lastRow="0" w:firstColumn="1" w:lastColumn="0" w:noHBand="0" w:noVBand="1"/>
      </w:tblPr>
      <w:tblGrid>
        <w:gridCol w:w="9016"/>
      </w:tblGrid>
      <w:tr w:rsidR="00C97515" w:rsidRPr="00BA44EB" w14:paraId="537925F5" w14:textId="77777777" w:rsidTr="00A76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9372486" w14:textId="77777777" w:rsidR="00C97515" w:rsidRDefault="00C97515" w:rsidP="00A76173">
            <w:pPr>
              <w:pStyle w:val="ListParagraph"/>
              <w:numPr>
                <w:ilvl w:val="0"/>
                <w:numId w:val="1"/>
              </w:numPr>
              <w:rPr>
                <w:rFonts w:asciiTheme="majorHAnsi" w:hAnsiTheme="majorHAnsi" w:cs="Gill Sans"/>
                <w:b w:val="0"/>
              </w:rPr>
            </w:pPr>
            <w:r w:rsidRPr="00BA44EB">
              <w:rPr>
                <w:rFonts w:asciiTheme="majorHAnsi" w:hAnsiTheme="majorHAnsi" w:cs="Gill Sans"/>
                <w:b w:val="0"/>
              </w:rPr>
              <w:t xml:space="preserve"> </w:t>
            </w:r>
            <w:r>
              <w:rPr>
                <w:rFonts w:asciiTheme="majorHAnsi" w:hAnsiTheme="majorHAnsi" w:cs="Gill Sans"/>
                <w:b w:val="0"/>
              </w:rPr>
              <w:t>The Business of Child Care, Karen Kearns</w:t>
            </w:r>
          </w:p>
          <w:p w14:paraId="1380E90C" w14:textId="77777777" w:rsidR="00C97515" w:rsidRPr="00BA44EB" w:rsidRDefault="00C97515" w:rsidP="00A76173">
            <w:pPr>
              <w:pStyle w:val="ListParagraph"/>
              <w:numPr>
                <w:ilvl w:val="0"/>
                <w:numId w:val="1"/>
              </w:numPr>
              <w:rPr>
                <w:rFonts w:asciiTheme="majorHAnsi" w:hAnsiTheme="majorHAnsi" w:cs="Gill Sans"/>
                <w:b w:val="0"/>
              </w:rPr>
            </w:pPr>
            <w:r>
              <w:rPr>
                <w:rFonts w:asciiTheme="majorHAnsi" w:hAnsiTheme="majorHAnsi" w:cs="Gill Sans"/>
                <w:b w:val="0"/>
              </w:rPr>
              <w:t xml:space="preserve"> National Quality Standards </w:t>
            </w:r>
          </w:p>
        </w:tc>
      </w:tr>
    </w:tbl>
    <w:p w14:paraId="69B21579" w14:textId="77777777" w:rsidR="00C97515" w:rsidRPr="00BA44EB" w:rsidRDefault="00C97515" w:rsidP="00C97515">
      <w:pPr>
        <w:rPr>
          <w:rFonts w:asciiTheme="majorHAnsi" w:hAnsiTheme="majorHAnsi"/>
          <w:color w:val="34ABC1"/>
        </w:rPr>
      </w:pPr>
    </w:p>
    <w:p w14:paraId="6FEEAB41" w14:textId="77777777" w:rsidR="00C97515" w:rsidRPr="00BA44EB" w:rsidRDefault="00C97515" w:rsidP="00C97515">
      <w:pPr>
        <w:spacing w:line="240" w:lineRule="auto"/>
        <w:rPr>
          <w:rFonts w:asciiTheme="majorHAnsi" w:hAnsiTheme="majorHAnsi"/>
          <w:b/>
        </w:rPr>
      </w:pPr>
      <w:r w:rsidRPr="00BA44EB">
        <w:rPr>
          <w:rFonts w:asciiTheme="majorHAnsi" w:hAnsiTheme="majorHAnsi"/>
          <w:b/>
        </w:rPr>
        <w:t>Review</w:t>
      </w:r>
    </w:p>
    <w:tbl>
      <w:tblPr>
        <w:tblStyle w:val="GridTable1Light-Accent31"/>
        <w:tblW w:w="0" w:type="auto"/>
        <w:tblLook w:val="04A0" w:firstRow="1" w:lastRow="0" w:firstColumn="1" w:lastColumn="0" w:noHBand="0" w:noVBand="1"/>
      </w:tblPr>
      <w:tblGrid>
        <w:gridCol w:w="1614"/>
        <w:gridCol w:w="5676"/>
        <w:gridCol w:w="1726"/>
      </w:tblGrid>
      <w:tr w:rsidR="00C97515" w14:paraId="10412D81" w14:textId="77777777" w:rsidTr="00A76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DBDBDB" w:themeColor="accent3" w:themeTint="66"/>
              <w:left w:val="single" w:sz="4" w:space="0" w:color="DBDBDB" w:themeColor="accent3" w:themeTint="66"/>
              <w:right w:val="single" w:sz="4" w:space="0" w:color="DBDBDB" w:themeColor="accent3" w:themeTint="66"/>
            </w:tcBorders>
            <w:hideMark/>
          </w:tcPr>
          <w:p w14:paraId="322CD6D3" w14:textId="77777777" w:rsidR="00C97515" w:rsidRDefault="00C97515" w:rsidP="00A76173">
            <w:pPr>
              <w:spacing w:line="360" w:lineRule="auto"/>
              <w:rPr>
                <w:rFonts w:ascii="Calibri Light" w:hAnsi="Calibri Light"/>
              </w:rPr>
            </w:pPr>
            <w:r>
              <w:rPr>
                <w:rFonts w:ascii="Calibri Light" w:hAnsi="Calibri Light"/>
              </w:rPr>
              <w:t xml:space="preserve">Policy Reviewed </w:t>
            </w:r>
          </w:p>
        </w:tc>
        <w:tc>
          <w:tcPr>
            <w:tcW w:w="6095" w:type="dxa"/>
            <w:tcBorders>
              <w:top w:val="single" w:sz="4" w:space="0" w:color="DBDBDB" w:themeColor="accent3" w:themeTint="66"/>
              <w:left w:val="single" w:sz="4" w:space="0" w:color="DBDBDB" w:themeColor="accent3" w:themeTint="66"/>
              <w:right w:val="single" w:sz="4" w:space="0" w:color="DBDBDB" w:themeColor="accent3" w:themeTint="66"/>
            </w:tcBorders>
            <w:hideMark/>
          </w:tcPr>
          <w:p w14:paraId="7D3A1A04" w14:textId="77777777" w:rsidR="00C97515" w:rsidRDefault="00C97515" w:rsidP="00A76173">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Modifications </w:t>
            </w:r>
          </w:p>
        </w:tc>
        <w:tc>
          <w:tcPr>
            <w:tcW w:w="1813" w:type="dxa"/>
            <w:tcBorders>
              <w:top w:val="single" w:sz="4" w:space="0" w:color="DBDBDB" w:themeColor="accent3" w:themeTint="66"/>
              <w:left w:val="single" w:sz="4" w:space="0" w:color="DBDBDB" w:themeColor="accent3" w:themeTint="66"/>
              <w:right w:val="single" w:sz="4" w:space="0" w:color="DBDBDB" w:themeColor="accent3" w:themeTint="66"/>
            </w:tcBorders>
            <w:hideMark/>
          </w:tcPr>
          <w:p w14:paraId="39050297" w14:textId="77777777" w:rsidR="00C97515" w:rsidRDefault="00C97515" w:rsidP="00A76173">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Next Review Date </w:t>
            </w:r>
          </w:p>
        </w:tc>
      </w:tr>
      <w:tr w:rsidR="00C97515" w14:paraId="44B32E98" w14:textId="77777777" w:rsidTr="00A76173">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2F7B6EC1" w14:textId="77777777" w:rsidR="00C97515" w:rsidRDefault="00E1015D" w:rsidP="00A76173">
            <w:pPr>
              <w:spacing w:line="360" w:lineRule="auto"/>
              <w:rPr>
                <w:rFonts w:ascii="Calibri Light" w:hAnsi="Calibri Light"/>
                <w:b w:val="0"/>
              </w:rPr>
            </w:pPr>
            <w:r>
              <w:rPr>
                <w:rFonts w:ascii="Calibri Light" w:hAnsi="Calibri Light"/>
                <w:b w:val="0"/>
              </w:rPr>
              <w:t>June 2017</w:t>
            </w:r>
          </w:p>
        </w:tc>
        <w:tc>
          <w:tcPr>
            <w:tcW w:w="609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2D54A121" w14:textId="77777777" w:rsidR="00C97515" w:rsidRDefault="00C97515" w:rsidP="00A76173">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Minor changes made to ensure compliance with regulations and government requirements. </w:t>
            </w:r>
          </w:p>
        </w:tc>
        <w:tc>
          <w:tcPr>
            <w:tcW w:w="1813"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14:paraId="22B63F9D" w14:textId="77777777" w:rsidR="00C97515" w:rsidRDefault="00E1015D" w:rsidP="00A76173">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June 2018</w:t>
            </w:r>
          </w:p>
        </w:tc>
      </w:tr>
    </w:tbl>
    <w:p w14:paraId="290F5EC7" w14:textId="77777777" w:rsidR="001D36F8" w:rsidRDefault="00E047B8"/>
    <w:sectPr w:rsidR="001D3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charset w:val="00"/>
    <w:family w:val="auto"/>
    <w:pitch w:val="variable"/>
    <w:sig w:usb0="80000267"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C6926"/>
    <w:multiLevelType w:val="hybridMultilevel"/>
    <w:tmpl w:val="AB0A3FF2"/>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 w15:restartNumberingAfterBreak="0">
    <w:nsid w:val="33F57C68"/>
    <w:multiLevelType w:val="hybridMultilevel"/>
    <w:tmpl w:val="FD1A962E"/>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2" w15:restartNumberingAfterBreak="0">
    <w:nsid w:val="365D59E3"/>
    <w:multiLevelType w:val="hybridMultilevel"/>
    <w:tmpl w:val="438EF1B4"/>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3" w15:restartNumberingAfterBreak="0">
    <w:nsid w:val="498E1E9A"/>
    <w:multiLevelType w:val="hybridMultilevel"/>
    <w:tmpl w:val="6A9AECFA"/>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4" w15:restartNumberingAfterBreak="0">
    <w:nsid w:val="5C5F6BFF"/>
    <w:multiLevelType w:val="hybridMultilevel"/>
    <w:tmpl w:val="7116F73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Arial"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065917"/>
    <w:multiLevelType w:val="hybridMultilevel"/>
    <w:tmpl w:val="FE5CCA9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7" w15:restartNumberingAfterBreak="0">
    <w:nsid w:val="7B9B3D10"/>
    <w:multiLevelType w:val="hybridMultilevel"/>
    <w:tmpl w:val="6A10597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15"/>
    <w:rsid w:val="005C08D4"/>
    <w:rsid w:val="005D7F00"/>
    <w:rsid w:val="006966C2"/>
    <w:rsid w:val="008240DD"/>
    <w:rsid w:val="008A6C61"/>
    <w:rsid w:val="00C97515"/>
    <w:rsid w:val="00D6582E"/>
    <w:rsid w:val="00E047B8"/>
    <w:rsid w:val="00E1015D"/>
    <w:rsid w:val="00E955FD"/>
    <w:rsid w:val="00F97E9C"/>
    <w:rsid w:val="00FB2C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3D5F"/>
  <w15:chartTrackingRefBased/>
  <w15:docId w15:val="{3778F595-0FBF-4C88-A18D-24CEB56A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515"/>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515"/>
    <w:pPr>
      <w:spacing w:after="0" w:line="240" w:lineRule="auto"/>
    </w:pPr>
    <w:rPr>
      <w:rFonts w:eastAsiaTheme="minorEastAsia"/>
      <w:lang w:val="en-US" w:eastAsia="ja-JP"/>
    </w:rPr>
  </w:style>
  <w:style w:type="paragraph" w:styleId="ListParagraph">
    <w:name w:val="List Paragraph"/>
    <w:basedOn w:val="Normal"/>
    <w:uiPriority w:val="34"/>
    <w:qFormat/>
    <w:rsid w:val="00C97515"/>
    <w:pPr>
      <w:ind w:left="720"/>
      <w:contextualSpacing/>
    </w:pPr>
  </w:style>
  <w:style w:type="table" w:customStyle="1" w:styleId="GridTable1Light-Accent31">
    <w:name w:val="Grid Table 1 Light - Accent 31"/>
    <w:basedOn w:val="TableNormal"/>
    <w:uiPriority w:val="46"/>
    <w:rsid w:val="00C97515"/>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10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5D"/>
    <w:rPr>
      <w:rFonts w:ascii="Segoe UI" w:eastAsiaTheme="minorEastAsia"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metcalf</dc:creator>
  <cp:keywords/>
  <dc:description/>
  <cp:lastModifiedBy>leigh metcalf</cp:lastModifiedBy>
  <cp:revision>2</cp:revision>
  <cp:lastPrinted>2017-06-20T06:34:00Z</cp:lastPrinted>
  <dcterms:created xsi:type="dcterms:W3CDTF">2017-06-20T06:18:00Z</dcterms:created>
  <dcterms:modified xsi:type="dcterms:W3CDTF">2017-06-20T06:56:00Z</dcterms:modified>
</cp:coreProperties>
</file>