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0A54" w14:textId="2430BF12" w:rsidR="00136ABB" w:rsidRPr="00A81408" w:rsidRDefault="004D6709" w:rsidP="00136ABB">
      <w:pPr>
        <w:spacing w:line="276" w:lineRule="auto"/>
        <w:rPr>
          <w:rFonts w:asciiTheme="majorHAnsi" w:hAnsiTheme="majorHAnsi"/>
          <w:b/>
          <w:sz w:val="16"/>
          <w:szCs w:val="16"/>
        </w:rPr>
      </w:pPr>
      <w:r>
        <w:rPr>
          <w:rFonts w:asciiTheme="majorHAnsi" w:hAnsiTheme="majorHAnsi"/>
          <w:b/>
          <w:sz w:val="46"/>
          <w:szCs w:val="46"/>
        </w:rPr>
        <w:t>FAMILY COMMUNICATION POLICY</w:t>
      </w:r>
      <w:r w:rsidR="00A81408">
        <w:rPr>
          <w:rFonts w:asciiTheme="majorHAnsi" w:hAnsiTheme="majorHAnsi"/>
          <w:b/>
          <w:sz w:val="46"/>
          <w:szCs w:val="46"/>
        </w:rPr>
        <w:br/>
      </w:r>
    </w:p>
    <w:p w14:paraId="59F2C88A" w14:textId="77777777" w:rsidR="00A83DDA" w:rsidRDefault="004D6709" w:rsidP="004D6709">
      <w:pPr>
        <w:spacing w:line="360" w:lineRule="auto"/>
        <w:rPr>
          <w:rFonts w:asciiTheme="majorHAnsi" w:hAnsiTheme="majorHAnsi"/>
        </w:rPr>
      </w:pPr>
      <w:r w:rsidRPr="00F53698">
        <w:rPr>
          <w:rFonts w:asciiTheme="majorHAnsi" w:hAnsiTheme="majorHAnsi"/>
        </w:rPr>
        <w:t>Family participation is an import</w:t>
      </w:r>
      <w:r>
        <w:rPr>
          <w:rFonts w:asciiTheme="majorHAnsi" w:hAnsiTheme="majorHAnsi"/>
        </w:rPr>
        <w:t xml:space="preserve">ant part of making </w:t>
      </w:r>
      <w:r w:rsidR="00115A28">
        <w:rPr>
          <w:rFonts w:asciiTheme="majorHAnsi" w:hAnsiTheme="majorHAnsi"/>
        </w:rPr>
        <w:t xml:space="preserve">Waratah All Year Care </w:t>
      </w:r>
      <w:r w:rsidRPr="00F53698">
        <w:rPr>
          <w:rFonts w:asciiTheme="majorHAnsi" w:hAnsiTheme="majorHAnsi"/>
        </w:rPr>
        <w:t>a true part of the community. We believe in creating an environment that is welcoming and inclusive and supports a sense of belonging for children, families, and educators.</w:t>
      </w:r>
    </w:p>
    <w:p w14:paraId="52044DF1" w14:textId="77777777" w:rsidR="00A83DDA" w:rsidRPr="00A83DDA" w:rsidRDefault="00A83DDA" w:rsidP="00A83DDA">
      <w:pPr>
        <w:spacing w:line="360" w:lineRule="auto"/>
        <w:jc w:val="center"/>
        <w:rPr>
          <w:rFonts w:asciiTheme="majorHAnsi" w:hAnsiTheme="majorHAnsi"/>
        </w:rPr>
      </w:pPr>
      <w:r w:rsidRPr="00A83DDA">
        <w:rPr>
          <w:rFonts w:asciiTheme="majorHAnsi" w:hAnsiTheme="majorHAnsi"/>
          <w:i/>
          <w:iCs/>
        </w:rPr>
        <w:t>‘Children thrive when families and educators work together in partnership to support young children’s learning.’</w:t>
      </w:r>
      <w:r w:rsidRPr="00A83DDA">
        <w:rPr>
          <w:rFonts w:asciiTheme="majorHAnsi" w:hAnsiTheme="majorHAnsi"/>
        </w:rPr>
        <w:t xml:space="preserve"> </w:t>
      </w:r>
    </w:p>
    <w:p w14:paraId="1B96993A" w14:textId="0A2F0167" w:rsidR="00136ABB" w:rsidRPr="004D6709" w:rsidRDefault="00A83DDA" w:rsidP="00A83DDA">
      <w:pPr>
        <w:spacing w:line="360" w:lineRule="auto"/>
        <w:rPr>
          <w:rFonts w:asciiTheme="majorHAnsi" w:hAnsiTheme="majorHAnsi"/>
          <w:sz w:val="18"/>
          <w:szCs w:val="18"/>
        </w:rPr>
      </w:pPr>
      <w:r w:rsidRPr="00A83DDA">
        <w:rPr>
          <w:rFonts w:asciiTheme="majorHAnsi" w:hAnsiTheme="majorHAnsi"/>
        </w:rPr>
        <w:t>(Early Years Learning Framework, p.9)</w:t>
      </w:r>
      <w:r w:rsidR="004D6709">
        <w:rPr>
          <w:rFonts w:asciiTheme="majorHAnsi" w:hAnsiTheme="majorHAnsi"/>
        </w:rPr>
        <w:br/>
      </w: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072" w:type="dxa"/>
        <w:tblInd w:w="108" w:type="dxa"/>
        <w:tblLayout w:type="fixed"/>
        <w:tblLook w:val="04A0" w:firstRow="1" w:lastRow="0" w:firstColumn="1" w:lastColumn="0" w:noHBand="0" w:noVBand="1"/>
      </w:tblPr>
      <w:tblGrid>
        <w:gridCol w:w="659"/>
        <w:gridCol w:w="2176"/>
        <w:gridCol w:w="6237"/>
      </w:tblGrid>
      <w:tr w:rsidR="0036669C" w:rsidRPr="00151775" w14:paraId="07560DF8" w14:textId="77777777" w:rsidTr="00D85812">
        <w:trPr>
          <w:trHeight w:val="495"/>
        </w:trPr>
        <w:tc>
          <w:tcPr>
            <w:tcW w:w="9072" w:type="dxa"/>
            <w:gridSpan w:val="3"/>
            <w:shd w:val="clear" w:color="auto" w:fill="D9D9D9" w:themeFill="background1" w:themeFillShade="D9"/>
            <w:vAlign w:val="center"/>
          </w:tcPr>
          <w:p w14:paraId="62483640" w14:textId="2E17211D" w:rsidR="0036669C" w:rsidRPr="00151775" w:rsidRDefault="0036669C" w:rsidP="004D6709">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4D6709">
              <w:t>UALITY AREA 6</w:t>
            </w:r>
            <w:r>
              <w:t xml:space="preserve">:  </w:t>
            </w:r>
            <w:r w:rsidR="004D6709">
              <w:rPr>
                <w:rFonts w:ascii="Calibri Light" w:hAnsi="Calibri Light"/>
                <w:color w:val="000000" w:themeColor="text1"/>
                <w:sz w:val="24"/>
                <w:szCs w:val="24"/>
                <w:lang w:val="en-US"/>
              </w:rPr>
              <w:t>COLLABORATIVE PARTNERSHIPS</w:t>
            </w:r>
          </w:p>
        </w:tc>
      </w:tr>
      <w:tr w:rsidR="004D6709" w14:paraId="709C42F0" w14:textId="77777777" w:rsidTr="004D6709">
        <w:trPr>
          <w:trHeight w:val="503"/>
        </w:trPr>
        <w:tc>
          <w:tcPr>
            <w:tcW w:w="659" w:type="dxa"/>
            <w:vAlign w:val="center"/>
          </w:tcPr>
          <w:p w14:paraId="0B6298F9" w14:textId="41283199" w:rsidR="004D6709" w:rsidRPr="004D6709" w:rsidRDefault="004D6709" w:rsidP="004D6709">
            <w:pPr>
              <w:jc w:val="center"/>
              <w:rPr>
                <w:rFonts w:asciiTheme="majorHAnsi" w:hAnsiTheme="majorHAnsi"/>
              </w:rPr>
            </w:pPr>
            <w:r w:rsidRPr="004D6709">
              <w:rPr>
                <w:rFonts w:asciiTheme="majorHAnsi" w:hAnsiTheme="majorHAnsi"/>
              </w:rPr>
              <w:t>6.1</w:t>
            </w:r>
          </w:p>
        </w:tc>
        <w:tc>
          <w:tcPr>
            <w:tcW w:w="2176" w:type="dxa"/>
            <w:vAlign w:val="center"/>
          </w:tcPr>
          <w:p w14:paraId="770D3442" w14:textId="2B75B87E" w:rsidR="004D6709" w:rsidRPr="004D6709" w:rsidRDefault="004D6709" w:rsidP="004D6709">
            <w:pPr>
              <w:rPr>
                <w:rFonts w:asciiTheme="majorHAnsi" w:hAnsiTheme="majorHAnsi"/>
              </w:rPr>
            </w:pPr>
            <w:r w:rsidRPr="004D6709">
              <w:rPr>
                <w:rFonts w:asciiTheme="majorHAnsi" w:hAnsiTheme="majorHAnsi"/>
              </w:rPr>
              <w:t xml:space="preserve">Supportive relationships with families </w:t>
            </w:r>
          </w:p>
        </w:tc>
        <w:tc>
          <w:tcPr>
            <w:tcW w:w="6237" w:type="dxa"/>
            <w:vAlign w:val="center"/>
          </w:tcPr>
          <w:p w14:paraId="0921CC03" w14:textId="79D5952C" w:rsidR="004D6709" w:rsidRPr="004D6709" w:rsidRDefault="004D6709" w:rsidP="004D6709">
            <w:pPr>
              <w:rPr>
                <w:rFonts w:asciiTheme="majorHAnsi" w:hAnsiTheme="majorHAnsi"/>
              </w:rPr>
            </w:pPr>
            <w:r w:rsidRPr="004D6709">
              <w:rPr>
                <w:rFonts w:asciiTheme="majorHAnsi" w:hAnsiTheme="majorHAnsi"/>
              </w:rPr>
              <w:t xml:space="preserve">Respectful relationships with families are developed and maintained and families are supported in their parenting role. </w:t>
            </w:r>
          </w:p>
        </w:tc>
      </w:tr>
      <w:tr w:rsidR="004D6709" w14:paraId="141C76D6" w14:textId="77777777" w:rsidTr="004D6709">
        <w:trPr>
          <w:trHeight w:val="666"/>
        </w:trPr>
        <w:tc>
          <w:tcPr>
            <w:tcW w:w="659" w:type="dxa"/>
            <w:shd w:val="clear" w:color="auto" w:fill="F2F2F2" w:themeFill="background1" w:themeFillShade="F2"/>
            <w:vAlign w:val="center"/>
          </w:tcPr>
          <w:p w14:paraId="2EA46928" w14:textId="5B6CC415" w:rsidR="004D6709" w:rsidRPr="004D6709" w:rsidRDefault="004D6709" w:rsidP="004D6709">
            <w:pPr>
              <w:jc w:val="center"/>
              <w:rPr>
                <w:rFonts w:asciiTheme="majorHAnsi" w:hAnsiTheme="majorHAnsi"/>
              </w:rPr>
            </w:pPr>
            <w:r w:rsidRPr="004D6709">
              <w:rPr>
                <w:rFonts w:asciiTheme="majorHAnsi" w:hAnsiTheme="majorHAnsi"/>
              </w:rPr>
              <w:t>6.1.1</w:t>
            </w:r>
          </w:p>
        </w:tc>
        <w:tc>
          <w:tcPr>
            <w:tcW w:w="2176" w:type="dxa"/>
            <w:shd w:val="clear" w:color="auto" w:fill="F2F2F2" w:themeFill="background1" w:themeFillShade="F2"/>
            <w:vAlign w:val="center"/>
          </w:tcPr>
          <w:p w14:paraId="7462F700" w14:textId="212FF0C7" w:rsidR="004D6709" w:rsidRPr="004D6709" w:rsidRDefault="004D6709" w:rsidP="004D6709">
            <w:pPr>
              <w:rPr>
                <w:rFonts w:asciiTheme="majorHAnsi" w:hAnsiTheme="majorHAnsi"/>
              </w:rPr>
            </w:pPr>
            <w:r w:rsidRPr="004D6709">
              <w:rPr>
                <w:rFonts w:asciiTheme="majorHAnsi" w:hAnsiTheme="majorHAnsi"/>
              </w:rPr>
              <w:t xml:space="preserve">Engagement with the service </w:t>
            </w:r>
          </w:p>
        </w:tc>
        <w:tc>
          <w:tcPr>
            <w:tcW w:w="6237" w:type="dxa"/>
            <w:shd w:val="clear" w:color="auto" w:fill="F2F2F2" w:themeFill="background1" w:themeFillShade="F2"/>
            <w:vAlign w:val="center"/>
          </w:tcPr>
          <w:p w14:paraId="13AAA22E" w14:textId="4CB2524A" w:rsidR="004D6709" w:rsidRPr="004D6709" w:rsidRDefault="004D6709" w:rsidP="004D6709">
            <w:pPr>
              <w:rPr>
                <w:rFonts w:asciiTheme="majorHAnsi" w:hAnsiTheme="majorHAnsi"/>
              </w:rPr>
            </w:pPr>
            <w:r w:rsidRPr="004D6709">
              <w:rPr>
                <w:rFonts w:asciiTheme="majorHAnsi" w:hAnsiTheme="majorHAnsi"/>
              </w:rPr>
              <w:t xml:space="preserve">Families are supported from enrolment to be involved in their service and contribute to service decisions. </w:t>
            </w:r>
          </w:p>
        </w:tc>
      </w:tr>
      <w:tr w:rsidR="004D6709" w14:paraId="69AD9603" w14:textId="77777777" w:rsidTr="004D6709">
        <w:trPr>
          <w:trHeight w:val="595"/>
        </w:trPr>
        <w:tc>
          <w:tcPr>
            <w:tcW w:w="659" w:type="dxa"/>
            <w:vAlign w:val="center"/>
          </w:tcPr>
          <w:p w14:paraId="74B75F73" w14:textId="0D4C19C7" w:rsidR="004D6709" w:rsidRPr="004D6709" w:rsidRDefault="004D6709" w:rsidP="004D6709">
            <w:pPr>
              <w:jc w:val="center"/>
              <w:rPr>
                <w:rFonts w:asciiTheme="majorHAnsi" w:hAnsiTheme="majorHAnsi"/>
              </w:rPr>
            </w:pPr>
            <w:r w:rsidRPr="004D6709">
              <w:rPr>
                <w:rFonts w:asciiTheme="majorHAnsi" w:hAnsiTheme="majorHAnsi"/>
              </w:rPr>
              <w:t>6.1.2</w:t>
            </w:r>
          </w:p>
        </w:tc>
        <w:tc>
          <w:tcPr>
            <w:tcW w:w="2176" w:type="dxa"/>
            <w:vAlign w:val="center"/>
          </w:tcPr>
          <w:p w14:paraId="39D5A594" w14:textId="43D76034" w:rsidR="004D6709" w:rsidRPr="004D6709" w:rsidRDefault="004D6709" w:rsidP="004D6709">
            <w:pPr>
              <w:rPr>
                <w:rFonts w:asciiTheme="majorHAnsi" w:hAnsiTheme="majorHAnsi"/>
              </w:rPr>
            </w:pPr>
            <w:r w:rsidRPr="004D6709">
              <w:rPr>
                <w:rFonts w:asciiTheme="majorHAnsi" w:hAnsiTheme="majorHAnsi"/>
              </w:rPr>
              <w:t>Parent views a</w:t>
            </w:r>
            <w:r>
              <w:rPr>
                <w:rFonts w:asciiTheme="majorHAnsi" w:hAnsiTheme="majorHAnsi"/>
              </w:rPr>
              <w:t>re</w:t>
            </w:r>
            <w:r w:rsidRPr="004D6709">
              <w:rPr>
                <w:rFonts w:asciiTheme="majorHAnsi" w:hAnsiTheme="majorHAnsi"/>
              </w:rPr>
              <w:t xml:space="preserve"> respected </w:t>
            </w:r>
          </w:p>
        </w:tc>
        <w:tc>
          <w:tcPr>
            <w:tcW w:w="6237" w:type="dxa"/>
            <w:vAlign w:val="center"/>
          </w:tcPr>
          <w:p w14:paraId="543E00B2" w14:textId="6844946F" w:rsidR="004D6709" w:rsidRPr="004D6709" w:rsidRDefault="004D6709" w:rsidP="004D6709">
            <w:pPr>
              <w:rPr>
                <w:rFonts w:asciiTheme="majorHAnsi" w:hAnsiTheme="majorHAnsi"/>
              </w:rPr>
            </w:pPr>
            <w:r w:rsidRPr="004D6709">
              <w:rPr>
                <w:rFonts w:asciiTheme="majorHAnsi" w:hAnsiTheme="majorHAnsi"/>
              </w:rPr>
              <w:t>The expertise, culture, values and beliefs of families are respected, and families share in decision-making about their child’s learning and wellbeing.</w:t>
            </w:r>
          </w:p>
        </w:tc>
      </w:tr>
      <w:tr w:rsidR="004D6709" w14:paraId="30272846" w14:textId="77777777" w:rsidTr="004D6709">
        <w:trPr>
          <w:trHeight w:val="884"/>
        </w:trPr>
        <w:tc>
          <w:tcPr>
            <w:tcW w:w="659" w:type="dxa"/>
            <w:shd w:val="clear" w:color="auto" w:fill="F2F2F2" w:themeFill="background1" w:themeFillShade="F2"/>
            <w:vAlign w:val="center"/>
          </w:tcPr>
          <w:p w14:paraId="3CCB2A79" w14:textId="414A518D" w:rsidR="004D6709" w:rsidRPr="004D6709" w:rsidRDefault="004D6709" w:rsidP="004D6709">
            <w:pPr>
              <w:jc w:val="center"/>
              <w:rPr>
                <w:rFonts w:asciiTheme="majorHAnsi" w:hAnsiTheme="majorHAnsi"/>
              </w:rPr>
            </w:pPr>
            <w:r w:rsidRPr="004D6709">
              <w:rPr>
                <w:rFonts w:asciiTheme="majorHAnsi" w:hAnsiTheme="majorHAnsi"/>
              </w:rPr>
              <w:t>6.1.3</w:t>
            </w:r>
          </w:p>
        </w:tc>
        <w:tc>
          <w:tcPr>
            <w:tcW w:w="2176" w:type="dxa"/>
            <w:shd w:val="clear" w:color="auto" w:fill="F2F2F2" w:themeFill="background1" w:themeFillShade="F2"/>
            <w:vAlign w:val="center"/>
          </w:tcPr>
          <w:p w14:paraId="59292FEF" w14:textId="0F23DE44" w:rsidR="004D6709" w:rsidRPr="004D6709" w:rsidRDefault="004D6709" w:rsidP="004D6709">
            <w:pPr>
              <w:rPr>
                <w:rFonts w:asciiTheme="majorHAnsi" w:hAnsiTheme="majorHAnsi"/>
              </w:rPr>
            </w:pPr>
            <w:r w:rsidRPr="004D6709">
              <w:rPr>
                <w:rFonts w:asciiTheme="majorHAnsi" w:hAnsiTheme="majorHAnsi"/>
              </w:rPr>
              <w:t xml:space="preserve">Families are supported </w:t>
            </w:r>
          </w:p>
        </w:tc>
        <w:tc>
          <w:tcPr>
            <w:tcW w:w="6237" w:type="dxa"/>
            <w:shd w:val="clear" w:color="auto" w:fill="F2F2F2" w:themeFill="background1" w:themeFillShade="F2"/>
            <w:vAlign w:val="center"/>
          </w:tcPr>
          <w:p w14:paraId="1C20C4B6" w14:textId="5B7C33A7" w:rsidR="004D6709" w:rsidRPr="004D6709" w:rsidRDefault="004D6709" w:rsidP="004D6709">
            <w:pPr>
              <w:rPr>
                <w:rFonts w:asciiTheme="majorHAnsi" w:hAnsiTheme="majorHAnsi"/>
              </w:rPr>
            </w:pPr>
            <w:r w:rsidRPr="004D6709">
              <w:rPr>
                <w:rFonts w:asciiTheme="majorHAnsi" w:hAnsiTheme="majorHAnsi"/>
              </w:rPr>
              <w:t>Current information is available to families about the service and relevant community services and resources to support parenting and family wellbeing.</w:t>
            </w:r>
          </w:p>
        </w:tc>
      </w:tr>
      <w:tr w:rsidR="004D6709" w14:paraId="38028024" w14:textId="77777777" w:rsidTr="004D6709">
        <w:trPr>
          <w:trHeight w:val="698"/>
        </w:trPr>
        <w:tc>
          <w:tcPr>
            <w:tcW w:w="659" w:type="dxa"/>
            <w:shd w:val="clear" w:color="auto" w:fill="auto"/>
            <w:vAlign w:val="center"/>
          </w:tcPr>
          <w:p w14:paraId="2431032E" w14:textId="2D1697D4" w:rsidR="004D6709" w:rsidRPr="004D6709" w:rsidRDefault="004D6709" w:rsidP="004D6709">
            <w:pPr>
              <w:jc w:val="center"/>
              <w:rPr>
                <w:rFonts w:asciiTheme="majorHAnsi" w:hAnsiTheme="majorHAnsi"/>
              </w:rPr>
            </w:pPr>
            <w:r w:rsidRPr="004D6709">
              <w:rPr>
                <w:rFonts w:asciiTheme="majorHAnsi" w:hAnsiTheme="majorHAnsi"/>
              </w:rPr>
              <w:t>6.2</w:t>
            </w:r>
          </w:p>
        </w:tc>
        <w:tc>
          <w:tcPr>
            <w:tcW w:w="2176" w:type="dxa"/>
            <w:shd w:val="clear" w:color="auto" w:fill="auto"/>
            <w:vAlign w:val="center"/>
          </w:tcPr>
          <w:p w14:paraId="0753D10F" w14:textId="534E836D" w:rsidR="004D6709" w:rsidRPr="004D6709" w:rsidRDefault="004D6709" w:rsidP="004D6709">
            <w:pPr>
              <w:rPr>
                <w:rFonts w:asciiTheme="majorHAnsi" w:hAnsiTheme="majorHAnsi"/>
              </w:rPr>
            </w:pPr>
            <w:r w:rsidRPr="004D6709">
              <w:rPr>
                <w:rFonts w:asciiTheme="majorHAnsi" w:hAnsiTheme="majorHAnsi"/>
              </w:rPr>
              <w:t>Collaborative partnerships</w:t>
            </w:r>
          </w:p>
        </w:tc>
        <w:tc>
          <w:tcPr>
            <w:tcW w:w="6237" w:type="dxa"/>
            <w:shd w:val="clear" w:color="auto" w:fill="auto"/>
            <w:vAlign w:val="center"/>
          </w:tcPr>
          <w:p w14:paraId="3587DBA8" w14:textId="654A1127" w:rsidR="004D6709" w:rsidRPr="004D6709" w:rsidRDefault="004D6709" w:rsidP="004D6709">
            <w:pPr>
              <w:rPr>
                <w:rFonts w:asciiTheme="majorHAnsi" w:hAnsiTheme="majorHAnsi"/>
              </w:rPr>
            </w:pPr>
            <w:r w:rsidRPr="004D6709">
              <w:rPr>
                <w:rFonts w:asciiTheme="majorHAnsi" w:hAnsiTheme="majorHAnsi"/>
              </w:rPr>
              <w:t>Collaborative partnerships enhance children’s inclusion, learning and wellbeing.</w:t>
            </w:r>
          </w:p>
        </w:tc>
      </w:tr>
      <w:tr w:rsidR="004D6709" w14:paraId="63C2C625" w14:textId="77777777" w:rsidTr="004D6709">
        <w:trPr>
          <w:trHeight w:val="836"/>
        </w:trPr>
        <w:tc>
          <w:tcPr>
            <w:tcW w:w="659" w:type="dxa"/>
            <w:shd w:val="clear" w:color="auto" w:fill="F2F2F2" w:themeFill="background1" w:themeFillShade="F2"/>
            <w:vAlign w:val="center"/>
          </w:tcPr>
          <w:p w14:paraId="75E969E5" w14:textId="1DA74E00" w:rsidR="004D6709" w:rsidRPr="004D6709" w:rsidRDefault="004D6709" w:rsidP="004D6709">
            <w:pPr>
              <w:jc w:val="center"/>
              <w:rPr>
                <w:rFonts w:asciiTheme="majorHAnsi" w:hAnsiTheme="majorHAnsi"/>
              </w:rPr>
            </w:pPr>
            <w:r w:rsidRPr="004D6709">
              <w:rPr>
                <w:rFonts w:asciiTheme="majorHAnsi" w:hAnsiTheme="majorHAnsi"/>
              </w:rPr>
              <w:t>6.2.1</w:t>
            </w:r>
          </w:p>
        </w:tc>
        <w:tc>
          <w:tcPr>
            <w:tcW w:w="2176" w:type="dxa"/>
            <w:shd w:val="clear" w:color="auto" w:fill="F2F2F2" w:themeFill="background1" w:themeFillShade="F2"/>
            <w:vAlign w:val="center"/>
          </w:tcPr>
          <w:p w14:paraId="16906D55" w14:textId="5548250E" w:rsidR="004D6709" w:rsidRPr="004D6709" w:rsidRDefault="004D6709" w:rsidP="004D6709">
            <w:pPr>
              <w:rPr>
                <w:rFonts w:asciiTheme="majorHAnsi" w:hAnsiTheme="majorHAnsi"/>
              </w:rPr>
            </w:pPr>
            <w:r w:rsidRPr="004D6709">
              <w:rPr>
                <w:rFonts w:asciiTheme="majorHAnsi" w:hAnsiTheme="majorHAnsi"/>
              </w:rPr>
              <w:t xml:space="preserve">Transitions </w:t>
            </w:r>
          </w:p>
        </w:tc>
        <w:tc>
          <w:tcPr>
            <w:tcW w:w="6237" w:type="dxa"/>
            <w:shd w:val="clear" w:color="auto" w:fill="F2F2F2" w:themeFill="background1" w:themeFillShade="F2"/>
            <w:vAlign w:val="center"/>
          </w:tcPr>
          <w:p w14:paraId="3DBF0229" w14:textId="7AB715D2" w:rsidR="004D6709" w:rsidRPr="004D6709" w:rsidRDefault="004D6709" w:rsidP="004D6709">
            <w:pPr>
              <w:rPr>
                <w:rFonts w:asciiTheme="majorHAnsi" w:hAnsiTheme="majorHAnsi"/>
              </w:rPr>
            </w:pPr>
            <w:r w:rsidRPr="004D6709">
              <w:rPr>
                <w:rFonts w:asciiTheme="majorHAnsi" w:hAnsiTheme="majorHAnsi"/>
              </w:rPr>
              <w:t>Continuity of learning and transitions for each child are supported by sharing information and clarifying responsibilities.</w:t>
            </w:r>
          </w:p>
        </w:tc>
      </w:tr>
      <w:tr w:rsidR="004D6709" w14:paraId="15E14211" w14:textId="77777777" w:rsidTr="004D6709">
        <w:trPr>
          <w:trHeight w:val="706"/>
        </w:trPr>
        <w:tc>
          <w:tcPr>
            <w:tcW w:w="659" w:type="dxa"/>
            <w:shd w:val="clear" w:color="auto" w:fill="auto"/>
            <w:vAlign w:val="center"/>
          </w:tcPr>
          <w:p w14:paraId="22975B3C" w14:textId="4083691C" w:rsidR="004D6709" w:rsidRPr="004D6709" w:rsidRDefault="004D6709" w:rsidP="004D6709">
            <w:pPr>
              <w:jc w:val="center"/>
              <w:rPr>
                <w:rFonts w:asciiTheme="majorHAnsi" w:hAnsiTheme="majorHAnsi"/>
              </w:rPr>
            </w:pPr>
            <w:r w:rsidRPr="004D6709">
              <w:rPr>
                <w:rFonts w:asciiTheme="majorHAnsi" w:hAnsiTheme="majorHAnsi"/>
              </w:rPr>
              <w:t>6.2.2</w:t>
            </w:r>
          </w:p>
        </w:tc>
        <w:tc>
          <w:tcPr>
            <w:tcW w:w="2176" w:type="dxa"/>
            <w:shd w:val="clear" w:color="auto" w:fill="auto"/>
            <w:vAlign w:val="center"/>
          </w:tcPr>
          <w:p w14:paraId="2393D34E" w14:textId="7C1AA1DA" w:rsidR="004D6709" w:rsidRPr="004D6709" w:rsidRDefault="004D6709" w:rsidP="004D6709">
            <w:pPr>
              <w:rPr>
                <w:rFonts w:asciiTheme="majorHAnsi" w:hAnsiTheme="majorHAnsi"/>
              </w:rPr>
            </w:pPr>
            <w:r w:rsidRPr="004D6709">
              <w:rPr>
                <w:rFonts w:asciiTheme="majorHAnsi" w:hAnsiTheme="majorHAnsi"/>
              </w:rPr>
              <w:t xml:space="preserve">Access and participation </w:t>
            </w:r>
          </w:p>
        </w:tc>
        <w:tc>
          <w:tcPr>
            <w:tcW w:w="6237" w:type="dxa"/>
            <w:shd w:val="clear" w:color="auto" w:fill="auto"/>
            <w:vAlign w:val="center"/>
          </w:tcPr>
          <w:p w14:paraId="791E2E40" w14:textId="79901199" w:rsidR="004D6709" w:rsidRPr="004D6709" w:rsidRDefault="004D6709" w:rsidP="004D6709">
            <w:pPr>
              <w:rPr>
                <w:rFonts w:asciiTheme="majorHAnsi" w:hAnsiTheme="majorHAnsi"/>
              </w:rPr>
            </w:pPr>
            <w:r w:rsidRPr="004D6709">
              <w:rPr>
                <w:rFonts w:asciiTheme="majorHAnsi" w:hAnsiTheme="majorHAnsi"/>
              </w:rPr>
              <w:t>Effective partnerships support children's access, inclusion and participation in the program.</w:t>
            </w:r>
          </w:p>
        </w:tc>
      </w:tr>
      <w:tr w:rsidR="004D6709" w14:paraId="74AC2672" w14:textId="77777777" w:rsidTr="004D6709">
        <w:trPr>
          <w:trHeight w:val="595"/>
        </w:trPr>
        <w:tc>
          <w:tcPr>
            <w:tcW w:w="659" w:type="dxa"/>
            <w:shd w:val="clear" w:color="auto" w:fill="F2F2F2" w:themeFill="background1" w:themeFillShade="F2"/>
            <w:vAlign w:val="center"/>
          </w:tcPr>
          <w:p w14:paraId="7FC06654" w14:textId="4647AE6D" w:rsidR="004D6709" w:rsidRPr="004D6709" w:rsidRDefault="004D6709" w:rsidP="004D6709">
            <w:pPr>
              <w:jc w:val="center"/>
              <w:rPr>
                <w:rFonts w:asciiTheme="majorHAnsi" w:hAnsiTheme="majorHAnsi"/>
              </w:rPr>
            </w:pPr>
            <w:r w:rsidRPr="004D6709">
              <w:rPr>
                <w:rFonts w:asciiTheme="majorHAnsi" w:hAnsiTheme="majorHAnsi"/>
              </w:rPr>
              <w:t>6.2.3</w:t>
            </w:r>
          </w:p>
        </w:tc>
        <w:tc>
          <w:tcPr>
            <w:tcW w:w="2176" w:type="dxa"/>
            <w:shd w:val="clear" w:color="auto" w:fill="F2F2F2" w:themeFill="background1" w:themeFillShade="F2"/>
            <w:vAlign w:val="center"/>
          </w:tcPr>
          <w:p w14:paraId="1322AAA4" w14:textId="32DD08FA" w:rsidR="004D6709" w:rsidRPr="004D6709" w:rsidRDefault="004D6709" w:rsidP="004D6709">
            <w:pPr>
              <w:rPr>
                <w:rFonts w:asciiTheme="majorHAnsi" w:hAnsiTheme="majorHAnsi"/>
              </w:rPr>
            </w:pPr>
            <w:r w:rsidRPr="004D6709">
              <w:rPr>
                <w:rFonts w:asciiTheme="majorHAnsi" w:hAnsiTheme="majorHAnsi"/>
              </w:rPr>
              <w:t xml:space="preserve">Community and engagement </w:t>
            </w:r>
          </w:p>
        </w:tc>
        <w:tc>
          <w:tcPr>
            <w:tcW w:w="6237" w:type="dxa"/>
            <w:shd w:val="clear" w:color="auto" w:fill="F2F2F2" w:themeFill="background1" w:themeFillShade="F2"/>
            <w:vAlign w:val="center"/>
          </w:tcPr>
          <w:p w14:paraId="33F90E73" w14:textId="0861F85C" w:rsidR="004D6709" w:rsidRPr="004D6709" w:rsidRDefault="004D6709" w:rsidP="004D6709">
            <w:pPr>
              <w:rPr>
                <w:rFonts w:asciiTheme="majorHAnsi" w:hAnsiTheme="majorHAnsi"/>
              </w:rPr>
            </w:pPr>
            <w:r w:rsidRPr="004D6709">
              <w:rPr>
                <w:rFonts w:asciiTheme="majorHAnsi" w:hAnsiTheme="majorHAnsi"/>
              </w:rPr>
              <w:t>The service builds relationships and engages with its community.</w:t>
            </w:r>
          </w:p>
        </w:tc>
      </w:tr>
    </w:tbl>
    <w:p w14:paraId="6CC532EE" w14:textId="6CB31DC2" w:rsidR="004D6709" w:rsidRDefault="004D6709" w:rsidP="003E4271">
      <w:pPr>
        <w:spacing w:line="360" w:lineRule="auto"/>
        <w:rPr>
          <w:rFonts w:cs="Arial"/>
          <w:color w:val="22A1BB"/>
          <w:sz w:val="24"/>
          <w:szCs w:val="24"/>
          <w:lang w:val="en-US"/>
        </w:rPr>
      </w:pPr>
    </w:p>
    <w:tbl>
      <w:tblPr>
        <w:tblStyle w:val="TableGrid"/>
        <w:tblW w:w="9043" w:type="dxa"/>
        <w:tblInd w:w="137" w:type="dxa"/>
        <w:tblLook w:val="04A0" w:firstRow="1" w:lastRow="0" w:firstColumn="1" w:lastColumn="0" w:noHBand="0" w:noVBand="1"/>
      </w:tblPr>
      <w:tblGrid>
        <w:gridCol w:w="964"/>
        <w:gridCol w:w="8079"/>
      </w:tblGrid>
      <w:tr w:rsidR="00FC28A3" w:rsidRPr="00FC28A3" w14:paraId="1A2E9D4E" w14:textId="77777777" w:rsidTr="00F3328B">
        <w:trPr>
          <w:trHeight w:val="528"/>
        </w:trPr>
        <w:tc>
          <w:tcPr>
            <w:tcW w:w="9043" w:type="dxa"/>
            <w:gridSpan w:val="2"/>
            <w:shd w:val="clear" w:color="auto" w:fill="F2F2F2" w:themeFill="background1" w:themeFillShade="F2"/>
            <w:vAlign w:val="center"/>
          </w:tcPr>
          <w:p w14:paraId="31EADD0A" w14:textId="77777777" w:rsidR="00FC28A3" w:rsidRPr="00FC28A3" w:rsidRDefault="00FC28A3" w:rsidP="00F3328B">
            <w:pPr>
              <w:ind w:hanging="27"/>
              <w:rPr>
                <w:rFonts w:ascii="Calibri Light" w:hAnsi="Calibri Light"/>
                <w:color w:val="000000" w:themeColor="text1"/>
                <w:sz w:val="24"/>
              </w:rPr>
            </w:pPr>
            <w:r w:rsidRPr="00FC28A3">
              <w:rPr>
                <w:rFonts w:cs="Arial"/>
                <w:sz w:val="24"/>
                <w:szCs w:val="24"/>
                <w:lang w:val="en-US"/>
              </w:rPr>
              <w:t>EDUCATION AND CARE SERVICES NATIONAL REGULATIONS</w:t>
            </w:r>
          </w:p>
        </w:tc>
      </w:tr>
      <w:tr w:rsidR="00FC28A3" w:rsidRPr="00FC28A3" w14:paraId="7A2E51F8" w14:textId="77777777" w:rsidTr="00F3328B">
        <w:trPr>
          <w:trHeight w:val="491"/>
        </w:trPr>
        <w:tc>
          <w:tcPr>
            <w:tcW w:w="964" w:type="dxa"/>
            <w:shd w:val="clear" w:color="auto" w:fill="auto"/>
            <w:vAlign w:val="center"/>
          </w:tcPr>
          <w:p w14:paraId="0955768E" w14:textId="77777777" w:rsidR="00FC28A3" w:rsidRPr="00FC28A3" w:rsidRDefault="00FC28A3" w:rsidP="00F3328B">
            <w:pPr>
              <w:jc w:val="center"/>
              <w:rPr>
                <w:rFonts w:asciiTheme="majorHAnsi" w:hAnsiTheme="majorHAnsi"/>
              </w:rPr>
            </w:pPr>
            <w:r w:rsidRPr="00FC28A3">
              <w:rPr>
                <w:rFonts w:asciiTheme="majorHAnsi" w:hAnsiTheme="majorHAnsi" w:cs="Calibri"/>
              </w:rPr>
              <w:t>86</w:t>
            </w:r>
          </w:p>
        </w:tc>
        <w:tc>
          <w:tcPr>
            <w:tcW w:w="8079" w:type="dxa"/>
            <w:shd w:val="clear" w:color="auto" w:fill="auto"/>
            <w:vAlign w:val="center"/>
          </w:tcPr>
          <w:p w14:paraId="2EB1E86C" w14:textId="77777777" w:rsidR="00FC28A3" w:rsidRPr="00FC28A3" w:rsidRDefault="00FC28A3" w:rsidP="00F3328B">
            <w:pPr>
              <w:rPr>
                <w:rFonts w:asciiTheme="majorHAnsi" w:hAnsiTheme="majorHAnsi"/>
                <w:lang w:val="en-US"/>
              </w:rPr>
            </w:pPr>
            <w:r w:rsidRPr="00FC28A3">
              <w:rPr>
                <w:rFonts w:asciiTheme="majorHAnsi" w:hAnsiTheme="majorHAnsi" w:cs="Calibri"/>
                <w:color w:val="000000"/>
              </w:rPr>
              <w:t xml:space="preserve">Notification to parents of incident, injury, trauma and illness </w:t>
            </w:r>
          </w:p>
        </w:tc>
      </w:tr>
      <w:tr w:rsidR="00FC28A3" w:rsidRPr="00FC28A3" w14:paraId="46AE2B25" w14:textId="77777777" w:rsidTr="00F3328B">
        <w:trPr>
          <w:trHeight w:val="491"/>
        </w:trPr>
        <w:tc>
          <w:tcPr>
            <w:tcW w:w="964" w:type="dxa"/>
            <w:shd w:val="clear" w:color="auto" w:fill="F2F2F2" w:themeFill="background1" w:themeFillShade="F2"/>
            <w:vAlign w:val="center"/>
          </w:tcPr>
          <w:p w14:paraId="5E0B9605" w14:textId="77777777" w:rsidR="00FC28A3" w:rsidRPr="00FC28A3" w:rsidRDefault="00FC28A3" w:rsidP="00F3328B">
            <w:pPr>
              <w:jc w:val="center"/>
              <w:rPr>
                <w:rFonts w:asciiTheme="majorHAnsi" w:hAnsiTheme="majorHAnsi"/>
              </w:rPr>
            </w:pPr>
            <w:r w:rsidRPr="00FC28A3">
              <w:rPr>
                <w:rFonts w:asciiTheme="majorHAnsi" w:hAnsiTheme="majorHAnsi" w:cs="Calibri"/>
              </w:rPr>
              <w:t>87</w:t>
            </w:r>
          </w:p>
        </w:tc>
        <w:tc>
          <w:tcPr>
            <w:tcW w:w="8079" w:type="dxa"/>
            <w:shd w:val="clear" w:color="auto" w:fill="F2F2F2" w:themeFill="background1" w:themeFillShade="F2"/>
            <w:vAlign w:val="center"/>
          </w:tcPr>
          <w:p w14:paraId="7D8732A0" w14:textId="77777777" w:rsidR="00FC28A3" w:rsidRPr="00FC28A3" w:rsidRDefault="00FC28A3" w:rsidP="00F3328B">
            <w:pPr>
              <w:rPr>
                <w:rFonts w:asciiTheme="majorHAnsi" w:hAnsiTheme="majorHAnsi"/>
                <w:lang w:val="en-US"/>
              </w:rPr>
            </w:pPr>
            <w:r w:rsidRPr="00FC28A3">
              <w:rPr>
                <w:rFonts w:asciiTheme="majorHAnsi" w:hAnsiTheme="majorHAnsi" w:cs="Calibri"/>
                <w:color w:val="000000"/>
              </w:rPr>
              <w:t>Incident, injury, trauma and illness record</w:t>
            </w:r>
          </w:p>
        </w:tc>
      </w:tr>
      <w:tr w:rsidR="00FC28A3" w:rsidRPr="00FC28A3" w14:paraId="2DDEE77A" w14:textId="77777777" w:rsidTr="00F3328B">
        <w:trPr>
          <w:trHeight w:val="491"/>
        </w:trPr>
        <w:tc>
          <w:tcPr>
            <w:tcW w:w="964" w:type="dxa"/>
            <w:shd w:val="clear" w:color="auto" w:fill="auto"/>
            <w:vAlign w:val="center"/>
          </w:tcPr>
          <w:p w14:paraId="22BA1092" w14:textId="77777777" w:rsidR="00FC28A3" w:rsidRPr="00FC28A3" w:rsidRDefault="00FC28A3" w:rsidP="00F3328B">
            <w:pPr>
              <w:jc w:val="center"/>
              <w:rPr>
                <w:rFonts w:asciiTheme="majorHAnsi" w:hAnsiTheme="majorHAnsi" w:cs="Calibri"/>
              </w:rPr>
            </w:pPr>
            <w:r w:rsidRPr="00FC28A3">
              <w:rPr>
                <w:rFonts w:asciiTheme="majorHAnsi" w:hAnsiTheme="majorHAnsi" w:cs="Calibri"/>
              </w:rPr>
              <w:t>111</w:t>
            </w:r>
          </w:p>
        </w:tc>
        <w:tc>
          <w:tcPr>
            <w:tcW w:w="8079" w:type="dxa"/>
            <w:shd w:val="clear" w:color="auto" w:fill="auto"/>
            <w:vAlign w:val="center"/>
          </w:tcPr>
          <w:p w14:paraId="571A7A9E" w14:textId="77777777" w:rsidR="00FC28A3" w:rsidRPr="00FC28A3" w:rsidRDefault="00FC28A3" w:rsidP="00F3328B">
            <w:pPr>
              <w:rPr>
                <w:rFonts w:asciiTheme="majorHAnsi" w:hAnsiTheme="majorHAnsi" w:cs="Calibri"/>
                <w:color w:val="000000"/>
              </w:rPr>
            </w:pPr>
            <w:r w:rsidRPr="00FC28A3">
              <w:rPr>
                <w:rFonts w:asciiTheme="majorHAnsi" w:hAnsiTheme="majorHAnsi" w:cs="Calibri"/>
                <w:color w:val="000000"/>
              </w:rPr>
              <w:t>Administrative space</w:t>
            </w:r>
          </w:p>
        </w:tc>
      </w:tr>
      <w:tr w:rsidR="00FC28A3" w:rsidRPr="00FC28A3" w14:paraId="3129A852" w14:textId="77777777" w:rsidTr="00F3328B">
        <w:trPr>
          <w:trHeight w:val="491"/>
        </w:trPr>
        <w:tc>
          <w:tcPr>
            <w:tcW w:w="964" w:type="dxa"/>
            <w:shd w:val="clear" w:color="auto" w:fill="F2F2F2" w:themeFill="background1" w:themeFillShade="F2"/>
            <w:vAlign w:val="center"/>
          </w:tcPr>
          <w:p w14:paraId="5B62F242" w14:textId="77777777" w:rsidR="00FC28A3" w:rsidRPr="00FC28A3" w:rsidRDefault="00FC28A3" w:rsidP="00F3328B">
            <w:pPr>
              <w:jc w:val="center"/>
              <w:rPr>
                <w:rFonts w:asciiTheme="majorHAnsi" w:hAnsiTheme="majorHAnsi" w:cs="Calibri"/>
              </w:rPr>
            </w:pPr>
            <w:r w:rsidRPr="00FC28A3">
              <w:rPr>
                <w:rFonts w:asciiTheme="majorHAnsi" w:hAnsiTheme="majorHAnsi" w:cs="Calibri"/>
              </w:rPr>
              <w:lastRenderedPageBreak/>
              <w:t>157</w:t>
            </w:r>
          </w:p>
        </w:tc>
        <w:tc>
          <w:tcPr>
            <w:tcW w:w="8079" w:type="dxa"/>
            <w:shd w:val="clear" w:color="auto" w:fill="F2F2F2" w:themeFill="background1" w:themeFillShade="F2"/>
            <w:vAlign w:val="center"/>
          </w:tcPr>
          <w:p w14:paraId="7DF4BDFE" w14:textId="77777777" w:rsidR="00FC28A3" w:rsidRPr="00FC28A3" w:rsidRDefault="00FC28A3" w:rsidP="00F3328B">
            <w:pPr>
              <w:rPr>
                <w:rFonts w:asciiTheme="majorHAnsi" w:hAnsiTheme="majorHAnsi"/>
                <w:szCs w:val="18"/>
              </w:rPr>
            </w:pPr>
            <w:r w:rsidRPr="00FC28A3">
              <w:rPr>
                <w:rFonts w:asciiTheme="majorHAnsi" w:hAnsiTheme="majorHAnsi"/>
                <w:szCs w:val="18"/>
              </w:rPr>
              <w:t>Access for parents</w:t>
            </w:r>
          </w:p>
        </w:tc>
      </w:tr>
      <w:tr w:rsidR="00FC28A3" w:rsidRPr="00FC28A3" w14:paraId="65BC4054" w14:textId="77777777" w:rsidTr="00F3328B">
        <w:trPr>
          <w:trHeight w:val="491"/>
        </w:trPr>
        <w:tc>
          <w:tcPr>
            <w:tcW w:w="964" w:type="dxa"/>
            <w:shd w:val="clear" w:color="auto" w:fill="auto"/>
            <w:vAlign w:val="center"/>
          </w:tcPr>
          <w:p w14:paraId="262B0CC2" w14:textId="77777777" w:rsidR="00FC28A3" w:rsidRPr="00FC28A3" w:rsidRDefault="00FC28A3" w:rsidP="00F3328B">
            <w:pPr>
              <w:jc w:val="center"/>
              <w:rPr>
                <w:rFonts w:asciiTheme="majorHAnsi" w:hAnsiTheme="majorHAnsi" w:cs="Calibri"/>
              </w:rPr>
            </w:pPr>
            <w:r w:rsidRPr="00FC28A3">
              <w:rPr>
                <w:rFonts w:asciiTheme="majorHAnsi" w:hAnsiTheme="majorHAnsi" w:cs="Calibri"/>
              </w:rPr>
              <w:t>160</w:t>
            </w:r>
          </w:p>
        </w:tc>
        <w:tc>
          <w:tcPr>
            <w:tcW w:w="8079" w:type="dxa"/>
            <w:shd w:val="clear" w:color="auto" w:fill="auto"/>
            <w:vAlign w:val="center"/>
          </w:tcPr>
          <w:p w14:paraId="5C954671" w14:textId="77777777" w:rsidR="00FC28A3" w:rsidRPr="00FC28A3" w:rsidRDefault="00FC28A3" w:rsidP="00F3328B">
            <w:pPr>
              <w:rPr>
                <w:rFonts w:asciiTheme="majorHAnsi" w:hAnsiTheme="majorHAnsi" w:cs="Calibri"/>
                <w:color w:val="000000"/>
              </w:rPr>
            </w:pPr>
            <w:r w:rsidRPr="00FC28A3">
              <w:rPr>
                <w:rFonts w:asciiTheme="majorHAnsi" w:hAnsiTheme="majorHAnsi" w:cs="Calibri"/>
                <w:color w:val="000000"/>
              </w:rPr>
              <w:t>Child enrolment records to be kept by approved provider and family day care educator</w:t>
            </w:r>
          </w:p>
        </w:tc>
      </w:tr>
      <w:tr w:rsidR="00FC28A3" w:rsidRPr="00FC28A3" w14:paraId="6B37E79A" w14:textId="77777777" w:rsidTr="00F3328B">
        <w:trPr>
          <w:trHeight w:val="491"/>
        </w:trPr>
        <w:tc>
          <w:tcPr>
            <w:tcW w:w="964" w:type="dxa"/>
            <w:shd w:val="clear" w:color="auto" w:fill="F2F2F2" w:themeFill="background1" w:themeFillShade="F2"/>
            <w:vAlign w:val="center"/>
          </w:tcPr>
          <w:p w14:paraId="01FCCA36" w14:textId="77777777" w:rsidR="00FC28A3" w:rsidRPr="00FC28A3" w:rsidRDefault="00FC28A3" w:rsidP="00F3328B">
            <w:pPr>
              <w:jc w:val="center"/>
              <w:rPr>
                <w:rFonts w:asciiTheme="majorHAnsi" w:hAnsiTheme="majorHAnsi" w:cs="Calibri"/>
              </w:rPr>
            </w:pPr>
            <w:r w:rsidRPr="00FC28A3">
              <w:rPr>
                <w:rFonts w:asciiTheme="majorHAnsi" w:hAnsiTheme="majorHAnsi" w:cs="Calibri"/>
              </w:rPr>
              <w:t>161</w:t>
            </w:r>
          </w:p>
        </w:tc>
        <w:tc>
          <w:tcPr>
            <w:tcW w:w="8079" w:type="dxa"/>
            <w:shd w:val="clear" w:color="auto" w:fill="F2F2F2" w:themeFill="background1" w:themeFillShade="F2"/>
            <w:vAlign w:val="center"/>
          </w:tcPr>
          <w:p w14:paraId="59E6181D" w14:textId="77777777" w:rsidR="00FC28A3" w:rsidRPr="00FC28A3" w:rsidRDefault="00FC28A3" w:rsidP="00F3328B">
            <w:pPr>
              <w:rPr>
                <w:rFonts w:asciiTheme="majorHAnsi" w:hAnsiTheme="majorHAnsi" w:cs="Calibri"/>
                <w:color w:val="000000"/>
              </w:rPr>
            </w:pPr>
            <w:r w:rsidRPr="00FC28A3">
              <w:rPr>
                <w:rFonts w:asciiTheme="majorHAnsi" w:hAnsiTheme="majorHAnsi" w:cs="Calibri"/>
                <w:color w:val="000000"/>
              </w:rPr>
              <w:t xml:space="preserve">Authorisations to be kept in enrolment record </w:t>
            </w:r>
          </w:p>
        </w:tc>
      </w:tr>
      <w:tr w:rsidR="00FC28A3" w:rsidRPr="00FC28A3" w14:paraId="0EE93469" w14:textId="77777777" w:rsidTr="00F3328B">
        <w:trPr>
          <w:trHeight w:val="491"/>
        </w:trPr>
        <w:tc>
          <w:tcPr>
            <w:tcW w:w="964" w:type="dxa"/>
            <w:shd w:val="clear" w:color="auto" w:fill="auto"/>
            <w:vAlign w:val="center"/>
          </w:tcPr>
          <w:p w14:paraId="5ABCF255" w14:textId="77777777" w:rsidR="00FC28A3" w:rsidRPr="00FC28A3" w:rsidRDefault="00FC28A3" w:rsidP="00F3328B">
            <w:pPr>
              <w:jc w:val="center"/>
              <w:rPr>
                <w:rFonts w:asciiTheme="majorHAnsi" w:hAnsiTheme="majorHAnsi" w:cs="Calibri"/>
              </w:rPr>
            </w:pPr>
            <w:r w:rsidRPr="00FC28A3">
              <w:rPr>
                <w:rFonts w:asciiTheme="majorHAnsi" w:hAnsiTheme="majorHAnsi" w:cs="Calibri"/>
              </w:rPr>
              <w:t>162</w:t>
            </w:r>
          </w:p>
        </w:tc>
        <w:tc>
          <w:tcPr>
            <w:tcW w:w="8079" w:type="dxa"/>
            <w:shd w:val="clear" w:color="auto" w:fill="auto"/>
            <w:vAlign w:val="center"/>
          </w:tcPr>
          <w:p w14:paraId="1DA99C98" w14:textId="77777777" w:rsidR="00FC28A3" w:rsidRPr="00FC28A3" w:rsidRDefault="00FC28A3" w:rsidP="00F3328B">
            <w:pPr>
              <w:rPr>
                <w:rFonts w:asciiTheme="majorHAnsi" w:hAnsiTheme="majorHAnsi"/>
                <w:szCs w:val="18"/>
              </w:rPr>
            </w:pPr>
            <w:r w:rsidRPr="00FC28A3">
              <w:rPr>
                <w:rFonts w:asciiTheme="majorHAnsi" w:hAnsiTheme="majorHAnsi" w:cs="Calibri"/>
                <w:color w:val="000000"/>
              </w:rPr>
              <w:t xml:space="preserve">Health information to be kept in enrolment record </w:t>
            </w:r>
          </w:p>
        </w:tc>
      </w:tr>
      <w:tr w:rsidR="00FC28A3" w:rsidRPr="00FC28A3" w14:paraId="5F39622E" w14:textId="77777777" w:rsidTr="00F3328B">
        <w:trPr>
          <w:trHeight w:val="491"/>
        </w:trPr>
        <w:tc>
          <w:tcPr>
            <w:tcW w:w="964" w:type="dxa"/>
            <w:shd w:val="clear" w:color="auto" w:fill="F2F2F2" w:themeFill="background1" w:themeFillShade="F2"/>
            <w:vAlign w:val="center"/>
          </w:tcPr>
          <w:p w14:paraId="238C54AC" w14:textId="77777777" w:rsidR="00FC28A3" w:rsidRPr="00FC28A3" w:rsidRDefault="00FC28A3" w:rsidP="00F3328B">
            <w:pPr>
              <w:jc w:val="center"/>
              <w:rPr>
                <w:rFonts w:asciiTheme="majorHAnsi" w:hAnsiTheme="majorHAnsi" w:cs="Calibri"/>
              </w:rPr>
            </w:pPr>
            <w:r w:rsidRPr="00FC28A3">
              <w:rPr>
                <w:rFonts w:asciiTheme="majorHAnsi" w:hAnsiTheme="majorHAnsi" w:cs="Calibri"/>
              </w:rPr>
              <w:t>168</w:t>
            </w:r>
          </w:p>
        </w:tc>
        <w:tc>
          <w:tcPr>
            <w:tcW w:w="8079" w:type="dxa"/>
            <w:shd w:val="clear" w:color="auto" w:fill="F2F2F2" w:themeFill="background1" w:themeFillShade="F2"/>
            <w:vAlign w:val="center"/>
          </w:tcPr>
          <w:p w14:paraId="59990A9F" w14:textId="77777777" w:rsidR="00FC28A3" w:rsidRPr="00FC28A3" w:rsidRDefault="00FC28A3" w:rsidP="00F3328B">
            <w:pPr>
              <w:rPr>
                <w:rFonts w:asciiTheme="majorHAnsi" w:hAnsiTheme="majorHAnsi"/>
                <w:szCs w:val="18"/>
              </w:rPr>
            </w:pPr>
            <w:r w:rsidRPr="00FC28A3">
              <w:rPr>
                <w:rFonts w:asciiTheme="majorHAnsi" w:hAnsiTheme="majorHAnsi" w:cs="Calibri"/>
                <w:color w:val="000000"/>
              </w:rPr>
              <w:t>Education and care Service must have policies and procedures</w:t>
            </w:r>
          </w:p>
        </w:tc>
      </w:tr>
      <w:tr w:rsidR="00FC28A3" w:rsidRPr="00FC28A3" w14:paraId="7E57CBE4" w14:textId="77777777" w:rsidTr="00F3328B">
        <w:trPr>
          <w:trHeight w:val="491"/>
        </w:trPr>
        <w:tc>
          <w:tcPr>
            <w:tcW w:w="964" w:type="dxa"/>
            <w:shd w:val="clear" w:color="auto" w:fill="auto"/>
            <w:vAlign w:val="center"/>
          </w:tcPr>
          <w:p w14:paraId="3778788C" w14:textId="77777777" w:rsidR="00FC28A3" w:rsidRPr="00FC28A3" w:rsidRDefault="00FC28A3" w:rsidP="00F3328B">
            <w:pPr>
              <w:jc w:val="center"/>
              <w:rPr>
                <w:rFonts w:asciiTheme="majorHAnsi" w:hAnsiTheme="majorHAnsi" w:cs="Calibri"/>
              </w:rPr>
            </w:pPr>
            <w:r w:rsidRPr="00FC28A3">
              <w:rPr>
                <w:rFonts w:asciiTheme="majorHAnsi" w:hAnsiTheme="majorHAnsi" w:cs="Calibri"/>
              </w:rPr>
              <w:t>172</w:t>
            </w:r>
          </w:p>
        </w:tc>
        <w:tc>
          <w:tcPr>
            <w:tcW w:w="8079" w:type="dxa"/>
            <w:shd w:val="clear" w:color="auto" w:fill="auto"/>
            <w:vAlign w:val="center"/>
          </w:tcPr>
          <w:p w14:paraId="23B553AD" w14:textId="77777777" w:rsidR="00FC28A3" w:rsidRPr="00FC28A3" w:rsidRDefault="00FC28A3" w:rsidP="00F3328B">
            <w:pPr>
              <w:rPr>
                <w:rFonts w:asciiTheme="majorHAnsi" w:hAnsiTheme="majorHAnsi" w:cs="Calibri"/>
                <w:color w:val="000000"/>
              </w:rPr>
            </w:pPr>
            <w:r w:rsidRPr="00FC28A3">
              <w:rPr>
                <w:rFonts w:asciiTheme="majorHAnsi" w:hAnsiTheme="majorHAnsi" w:cs="Calibri"/>
                <w:color w:val="000000"/>
              </w:rPr>
              <w:t>Notification of change to policies or procedures</w:t>
            </w:r>
          </w:p>
        </w:tc>
      </w:tr>
      <w:tr w:rsidR="00FC28A3" w14:paraId="5837F476" w14:textId="77777777" w:rsidTr="00F3328B">
        <w:trPr>
          <w:trHeight w:val="491"/>
        </w:trPr>
        <w:tc>
          <w:tcPr>
            <w:tcW w:w="964" w:type="dxa"/>
            <w:shd w:val="clear" w:color="auto" w:fill="F2F2F2" w:themeFill="background1" w:themeFillShade="F2"/>
            <w:vAlign w:val="center"/>
          </w:tcPr>
          <w:p w14:paraId="0935E4F0" w14:textId="77777777" w:rsidR="00FC28A3" w:rsidRPr="00FC28A3" w:rsidRDefault="00FC28A3" w:rsidP="00F3328B">
            <w:pPr>
              <w:jc w:val="center"/>
              <w:rPr>
                <w:rFonts w:asciiTheme="majorHAnsi" w:hAnsiTheme="majorHAnsi" w:cs="Calibri"/>
              </w:rPr>
            </w:pPr>
            <w:r w:rsidRPr="00FC28A3">
              <w:rPr>
                <w:rFonts w:asciiTheme="majorHAnsi" w:hAnsiTheme="majorHAnsi" w:cs="Calibri"/>
              </w:rPr>
              <w:t>181</w:t>
            </w:r>
          </w:p>
        </w:tc>
        <w:tc>
          <w:tcPr>
            <w:tcW w:w="8079" w:type="dxa"/>
            <w:shd w:val="clear" w:color="auto" w:fill="F2F2F2" w:themeFill="background1" w:themeFillShade="F2"/>
            <w:vAlign w:val="center"/>
          </w:tcPr>
          <w:p w14:paraId="739C8F72" w14:textId="77777777" w:rsidR="00FC28A3" w:rsidRPr="00FC28A3" w:rsidRDefault="00FC28A3" w:rsidP="00F3328B">
            <w:pPr>
              <w:rPr>
                <w:rFonts w:asciiTheme="majorHAnsi" w:hAnsiTheme="majorHAnsi" w:cs="Calibri"/>
                <w:color w:val="000000"/>
              </w:rPr>
            </w:pPr>
            <w:r w:rsidRPr="00FC28A3">
              <w:rPr>
                <w:rFonts w:asciiTheme="majorHAnsi" w:hAnsiTheme="majorHAnsi" w:cs="Calibri"/>
                <w:color w:val="000000"/>
              </w:rPr>
              <w:t>Confidentiality of records kept by approved provider</w:t>
            </w:r>
          </w:p>
        </w:tc>
      </w:tr>
    </w:tbl>
    <w:p w14:paraId="5E8BBD52" w14:textId="2E8989C6" w:rsidR="00FC28A3" w:rsidRDefault="00FC28A3" w:rsidP="0036669C">
      <w:pPr>
        <w:spacing w:line="360" w:lineRule="auto"/>
        <w:rPr>
          <w:rFonts w:cs="Arial"/>
          <w:color w:val="22A1BB"/>
          <w:sz w:val="24"/>
          <w:szCs w:val="24"/>
          <w:lang w:val="en-US"/>
        </w:rPr>
      </w:pPr>
    </w:p>
    <w:p w14:paraId="10E462A0" w14:textId="77777777" w:rsidR="003E4271" w:rsidRPr="003A2333" w:rsidRDefault="003E4271" w:rsidP="003E4271">
      <w:pPr>
        <w:spacing w:line="360"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3E4271" w14:paraId="670C7E44" w14:textId="77777777" w:rsidTr="00F3328B">
        <w:trPr>
          <w:trHeight w:val="927"/>
        </w:trPr>
        <w:tc>
          <w:tcPr>
            <w:tcW w:w="4590" w:type="dxa"/>
            <w:vAlign w:val="center"/>
          </w:tcPr>
          <w:p w14:paraId="24A855B0" w14:textId="77777777" w:rsidR="003E4271" w:rsidRPr="003E4271" w:rsidRDefault="003E4271" w:rsidP="00F3328B">
            <w:pPr>
              <w:rPr>
                <w:rFonts w:asciiTheme="majorHAnsi" w:hAnsiTheme="majorHAnsi"/>
                <w:bCs/>
              </w:rPr>
            </w:pPr>
            <w:r w:rsidRPr="003E4271">
              <w:rPr>
                <w:rFonts w:asciiTheme="majorHAnsi" w:hAnsiTheme="majorHAnsi"/>
              </w:rPr>
              <w:t xml:space="preserve">Anti-Bias and Inclusion Policy </w:t>
            </w:r>
          </w:p>
          <w:p w14:paraId="68EC184D" w14:textId="77777777" w:rsidR="003E4271" w:rsidRPr="003E4271" w:rsidRDefault="003E4271" w:rsidP="00F3328B">
            <w:pPr>
              <w:rPr>
                <w:rFonts w:asciiTheme="majorHAnsi" w:hAnsiTheme="majorHAnsi"/>
              </w:rPr>
            </w:pPr>
            <w:r w:rsidRPr="003E4271">
              <w:rPr>
                <w:rFonts w:asciiTheme="majorHAnsi" w:hAnsiTheme="majorHAnsi"/>
              </w:rPr>
              <w:t>Educational Program Policy</w:t>
            </w:r>
          </w:p>
          <w:p w14:paraId="446D3A3C" w14:textId="77777777" w:rsidR="003E4271" w:rsidRPr="003E4271" w:rsidRDefault="003E4271" w:rsidP="00F3328B">
            <w:pPr>
              <w:rPr>
                <w:rFonts w:asciiTheme="majorHAnsi" w:hAnsiTheme="majorHAnsi"/>
              </w:rPr>
            </w:pPr>
            <w:r w:rsidRPr="003E4271">
              <w:rPr>
                <w:rFonts w:asciiTheme="majorHAnsi" w:hAnsiTheme="majorHAnsi"/>
              </w:rPr>
              <w:t>Grievance Policy</w:t>
            </w:r>
          </w:p>
          <w:p w14:paraId="2D5FD7BB" w14:textId="77777777" w:rsidR="003E4271" w:rsidRPr="003E4271" w:rsidRDefault="003E4271" w:rsidP="00F3328B">
            <w:pPr>
              <w:rPr>
                <w:rFonts w:asciiTheme="majorHAnsi" w:hAnsiTheme="majorHAnsi"/>
                <w:bCs/>
              </w:rPr>
            </w:pPr>
            <w:r w:rsidRPr="003E4271">
              <w:rPr>
                <w:rFonts w:asciiTheme="majorHAnsi" w:hAnsiTheme="majorHAnsi"/>
                <w:bCs/>
              </w:rPr>
              <w:t>Incident Illness Accident and Trauma Policy</w:t>
            </w:r>
          </w:p>
        </w:tc>
        <w:tc>
          <w:tcPr>
            <w:tcW w:w="4590" w:type="dxa"/>
            <w:vAlign w:val="center"/>
          </w:tcPr>
          <w:p w14:paraId="50E3E2CB" w14:textId="77777777" w:rsidR="003E4271" w:rsidRPr="003E4271" w:rsidRDefault="003E4271" w:rsidP="00F3328B">
            <w:pPr>
              <w:rPr>
                <w:rFonts w:asciiTheme="majorHAnsi" w:hAnsiTheme="majorHAnsi"/>
              </w:rPr>
            </w:pPr>
            <w:r w:rsidRPr="003E4271">
              <w:rPr>
                <w:rFonts w:asciiTheme="majorHAnsi" w:hAnsiTheme="majorHAnsi"/>
              </w:rPr>
              <w:t xml:space="preserve">Interactions with Children, Family and Staff Policy </w:t>
            </w:r>
          </w:p>
          <w:p w14:paraId="518078FC" w14:textId="77777777" w:rsidR="003E4271" w:rsidRPr="003E4271" w:rsidRDefault="003E4271" w:rsidP="00F3328B">
            <w:pPr>
              <w:spacing w:line="276" w:lineRule="auto"/>
              <w:rPr>
                <w:rFonts w:asciiTheme="majorHAnsi" w:hAnsiTheme="majorHAnsi"/>
              </w:rPr>
            </w:pPr>
            <w:r w:rsidRPr="003E4271">
              <w:rPr>
                <w:rFonts w:asciiTheme="majorHAnsi" w:hAnsiTheme="majorHAnsi"/>
              </w:rPr>
              <w:t>Open Door Policy</w:t>
            </w:r>
          </w:p>
          <w:p w14:paraId="48AE4353" w14:textId="77777777" w:rsidR="003E4271" w:rsidRPr="003E4271" w:rsidRDefault="003E4271" w:rsidP="00F3328B">
            <w:pPr>
              <w:spacing w:line="276" w:lineRule="auto"/>
              <w:rPr>
                <w:rFonts w:asciiTheme="majorHAnsi" w:hAnsiTheme="majorHAnsi"/>
                <w:bCs/>
              </w:rPr>
            </w:pPr>
            <w:r w:rsidRPr="003E4271">
              <w:rPr>
                <w:rFonts w:asciiTheme="majorHAnsi" w:hAnsiTheme="majorHAnsi"/>
                <w:bCs/>
              </w:rPr>
              <w:t>Privacy and Confidentiality Policy</w:t>
            </w:r>
          </w:p>
          <w:p w14:paraId="60599095" w14:textId="77777777" w:rsidR="003E4271" w:rsidRPr="003E4271" w:rsidRDefault="003E4271" w:rsidP="00F3328B">
            <w:pPr>
              <w:spacing w:line="276" w:lineRule="auto"/>
              <w:rPr>
                <w:rFonts w:asciiTheme="majorHAnsi" w:hAnsiTheme="majorHAnsi"/>
                <w:bCs/>
              </w:rPr>
            </w:pPr>
            <w:r w:rsidRPr="003E4271">
              <w:rPr>
                <w:rFonts w:asciiTheme="majorHAnsi" w:hAnsiTheme="majorHAnsi"/>
                <w:bCs/>
              </w:rPr>
              <w:t>Sick Children Policy</w:t>
            </w:r>
          </w:p>
        </w:tc>
      </w:tr>
    </w:tbl>
    <w:p w14:paraId="6D7732CA" w14:textId="77777777" w:rsidR="003E4271" w:rsidRDefault="003E4271"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27485A58" w14:textId="6D276543" w:rsidR="004D6709" w:rsidRPr="00F53698" w:rsidRDefault="004D6709" w:rsidP="004D6709">
      <w:pPr>
        <w:spacing w:line="360" w:lineRule="auto"/>
        <w:rPr>
          <w:rFonts w:asciiTheme="majorHAnsi" w:hAnsiTheme="majorHAnsi" w:cs="Arial"/>
          <w:szCs w:val="18"/>
          <w:lang w:eastAsia="en-AU"/>
        </w:rPr>
      </w:pPr>
      <w:r w:rsidRPr="00F53698">
        <w:rPr>
          <w:rFonts w:asciiTheme="majorHAnsi" w:hAnsiTheme="majorHAnsi" w:cs="Arial"/>
          <w:szCs w:val="18"/>
          <w:lang w:eastAsia="en-AU"/>
        </w:rPr>
        <w:t xml:space="preserve">We encourage family participation and open communication within our Service. Families are invited to </w:t>
      </w:r>
      <w:r w:rsidR="00115A28">
        <w:rPr>
          <w:rFonts w:asciiTheme="majorHAnsi" w:hAnsiTheme="majorHAnsi" w:cs="Arial"/>
          <w:szCs w:val="18"/>
          <w:lang w:eastAsia="en-AU"/>
        </w:rPr>
        <w:t>communicate with us face to face, through social media, storypark etc.</w:t>
      </w:r>
      <w:r w:rsidRPr="00F53698">
        <w:rPr>
          <w:rFonts w:asciiTheme="majorHAnsi" w:hAnsiTheme="majorHAnsi" w:cs="Arial"/>
          <w:szCs w:val="18"/>
          <w:lang w:eastAsia="en-AU"/>
        </w:rPr>
        <w:t xml:space="preserve"> and assist with projects </w:t>
      </w:r>
      <w:r>
        <w:rPr>
          <w:rFonts w:asciiTheme="majorHAnsi" w:hAnsiTheme="majorHAnsi" w:cs="Arial"/>
          <w:szCs w:val="18"/>
          <w:lang w:eastAsia="en-AU"/>
        </w:rPr>
        <w:t>in keeping</w:t>
      </w:r>
      <w:r w:rsidRPr="00F53698">
        <w:rPr>
          <w:rFonts w:asciiTheme="majorHAnsi" w:hAnsiTheme="majorHAnsi" w:cs="Arial"/>
          <w:szCs w:val="18"/>
          <w:lang w:eastAsia="en-AU"/>
        </w:rPr>
        <w:t xml:space="preserve"> with our open-door policy.  </w:t>
      </w:r>
    </w:p>
    <w:p w14:paraId="1DBE9F0A" w14:textId="1B64A1D8" w:rsidR="004D6709" w:rsidRPr="00F53698" w:rsidRDefault="004D6709" w:rsidP="004D6709">
      <w:pPr>
        <w:spacing w:line="360" w:lineRule="auto"/>
        <w:rPr>
          <w:rFonts w:asciiTheme="majorHAnsi" w:hAnsiTheme="majorHAnsi" w:cs="Arial"/>
          <w:szCs w:val="18"/>
          <w:lang w:eastAsia="en-AU"/>
        </w:rPr>
      </w:pPr>
      <w:r w:rsidRPr="00F53698">
        <w:rPr>
          <w:rFonts w:asciiTheme="majorHAnsi" w:hAnsiTheme="majorHAnsi" w:cs="Arial"/>
          <w:szCs w:val="18"/>
          <w:lang w:eastAsia="en-AU"/>
        </w:rPr>
        <w:t>We aim to ensure open communication through the enrolment and orientation process, policy review, feedback forms, daily program, documentation, formal and informal meetings, emails</w:t>
      </w:r>
      <w:r>
        <w:rPr>
          <w:rFonts w:asciiTheme="majorHAnsi" w:hAnsiTheme="majorHAnsi" w:cs="Arial"/>
          <w:szCs w:val="18"/>
          <w:lang w:eastAsia="en-AU"/>
        </w:rPr>
        <w:t>,</w:t>
      </w:r>
      <w:r w:rsidRPr="00F53698">
        <w:rPr>
          <w:rFonts w:asciiTheme="majorHAnsi" w:hAnsiTheme="majorHAnsi" w:cs="Arial"/>
          <w:szCs w:val="18"/>
          <w:lang w:eastAsia="en-AU"/>
        </w:rPr>
        <w:t xml:space="preserve"> and conversations. </w:t>
      </w: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420FFF63" w14:textId="480B2234" w:rsidR="004D6709" w:rsidRPr="00F53698" w:rsidRDefault="004D6709" w:rsidP="004D6709">
      <w:pPr>
        <w:rPr>
          <w:rFonts w:asciiTheme="majorHAnsi" w:hAnsiTheme="majorHAnsi"/>
        </w:rPr>
      </w:pPr>
      <w:r w:rsidRPr="00F53698">
        <w:rPr>
          <w:rFonts w:asciiTheme="majorHAnsi" w:hAnsiTheme="majorHAnsi"/>
        </w:rPr>
        <w:t>This policy applies to children, families, staff, management</w:t>
      </w:r>
      <w:r>
        <w:rPr>
          <w:rFonts w:asciiTheme="majorHAnsi" w:hAnsiTheme="majorHAnsi"/>
        </w:rPr>
        <w:t>,</w:t>
      </w:r>
      <w:r w:rsidRPr="00F53698">
        <w:rPr>
          <w:rFonts w:asciiTheme="majorHAnsi" w:hAnsiTheme="majorHAnsi"/>
        </w:rPr>
        <w:t xml:space="preserve"> and visitors of </w:t>
      </w:r>
      <w:r w:rsidR="00303E05">
        <w:rPr>
          <w:rFonts w:asciiTheme="majorHAnsi" w:hAnsiTheme="majorHAnsi"/>
        </w:rPr>
        <w:t>Waratah All Year Care</w:t>
      </w:r>
      <w:r w:rsidRPr="00F53698">
        <w:rPr>
          <w:rFonts w:asciiTheme="majorHAnsi" w:hAnsiTheme="majorHAnsi"/>
        </w:rPr>
        <w:t>.</w:t>
      </w:r>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15297BA5" w14:textId="77777777" w:rsidR="004D6709" w:rsidRPr="00F53698" w:rsidRDefault="004D6709" w:rsidP="004D6709">
      <w:pPr>
        <w:spacing w:line="360" w:lineRule="auto"/>
        <w:rPr>
          <w:rFonts w:asciiTheme="majorHAnsi" w:hAnsiTheme="majorHAnsi" w:cs="Calibri"/>
        </w:rPr>
      </w:pPr>
      <w:r w:rsidRPr="00F53698">
        <w:rPr>
          <w:rFonts w:asciiTheme="majorHAnsi" w:hAnsiTheme="majorHAnsi" w:cs="Calibri"/>
        </w:rPr>
        <w:t>We understand the primary influence that families have in their children’s lives, and that effective relationships between educators and families are fundamental to achieve quality outcomes for children. Community partnerships that focus on active communication, consultation</w:t>
      </w:r>
      <w:r>
        <w:rPr>
          <w:rFonts w:asciiTheme="majorHAnsi" w:hAnsiTheme="majorHAnsi" w:cs="Calibri"/>
        </w:rPr>
        <w:t>,</w:t>
      </w:r>
      <w:r w:rsidRPr="00F53698">
        <w:rPr>
          <w:rFonts w:asciiTheme="majorHAnsi" w:hAnsiTheme="majorHAnsi" w:cs="Calibri"/>
        </w:rPr>
        <w:t xml:space="preserve"> and collaboration also contribute to children’s learning and wellbeing. Positive relationships with families’ turn into a partnership as together we share a common </w:t>
      </w:r>
      <w:r>
        <w:rPr>
          <w:rFonts w:asciiTheme="majorHAnsi" w:hAnsiTheme="majorHAnsi" w:cs="Calibri"/>
        </w:rPr>
        <w:t>objective</w:t>
      </w:r>
      <w:r w:rsidRPr="00F53698">
        <w:rPr>
          <w:rFonts w:asciiTheme="majorHAnsi" w:hAnsiTheme="majorHAnsi" w:cs="Calibri"/>
        </w:rPr>
        <w:t xml:space="preserve"> and responsibility for reaching goals for children. </w:t>
      </w:r>
    </w:p>
    <w:p w14:paraId="0BD05DAE" w14:textId="38282182" w:rsidR="004D6709" w:rsidRPr="004D6709" w:rsidRDefault="004D6709" w:rsidP="004D6709">
      <w:pPr>
        <w:spacing w:line="360" w:lineRule="auto"/>
        <w:rPr>
          <w:rFonts w:ascii="Calibri" w:hAnsi="Calibri" w:cs="Calibri"/>
          <w:sz w:val="20"/>
        </w:rPr>
      </w:pPr>
      <w:r w:rsidRPr="00F53698">
        <w:rPr>
          <w:rFonts w:asciiTheme="majorHAnsi" w:hAnsiTheme="majorHAnsi" w:cs="Calibri"/>
        </w:rPr>
        <w:lastRenderedPageBreak/>
        <w:t xml:space="preserve">We will provide regular information about the Service and </w:t>
      </w:r>
      <w:r>
        <w:rPr>
          <w:rFonts w:asciiTheme="majorHAnsi" w:hAnsiTheme="majorHAnsi" w:cs="Calibri"/>
        </w:rPr>
        <w:t>ongoing opportunities</w:t>
      </w:r>
      <w:r w:rsidRPr="00F53698">
        <w:rPr>
          <w:rFonts w:asciiTheme="majorHAnsi" w:hAnsiTheme="majorHAnsi" w:cs="Calibri"/>
        </w:rPr>
        <w:t xml:space="preserve"> for families to contribute in our curriculum. </w:t>
      </w:r>
      <w:r>
        <w:rPr>
          <w:rFonts w:ascii="Calibri" w:hAnsi="Calibri" w:cs="Calibri"/>
          <w:sz w:val="20"/>
        </w:rPr>
        <w:br/>
      </w:r>
    </w:p>
    <w:p w14:paraId="66AE54AB" w14:textId="15E70EE8" w:rsidR="00D85812" w:rsidRPr="00F8031C" w:rsidRDefault="005D148A" w:rsidP="00D85812">
      <w:pPr>
        <w:rPr>
          <w:rFonts w:asciiTheme="majorHAnsi" w:hAnsiTheme="majorHAnsi"/>
        </w:rPr>
      </w:pPr>
      <w:r w:rsidRPr="00F8031C">
        <w:rPr>
          <w:rFonts w:cs="Arial"/>
          <w:color w:val="22A1BB"/>
          <w:sz w:val="24"/>
          <w:szCs w:val="24"/>
          <w:lang w:val="en-US"/>
        </w:rPr>
        <w:t>Management</w:t>
      </w:r>
      <w:r w:rsidR="004D6709" w:rsidRPr="00F8031C">
        <w:rPr>
          <w:rFonts w:cs="Arial"/>
          <w:color w:val="22A1BB"/>
          <w:sz w:val="24"/>
          <w:szCs w:val="24"/>
          <w:lang w:val="en-US"/>
        </w:rPr>
        <w:t xml:space="preserve"> will ensure</w:t>
      </w:r>
      <w:r w:rsidRPr="00F8031C">
        <w:rPr>
          <w:rFonts w:cs="Arial"/>
          <w:color w:val="22A1BB"/>
          <w:sz w:val="24"/>
          <w:szCs w:val="24"/>
          <w:lang w:val="en-US"/>
        </w:rPr>
        <w:t xml:space="preserve"> </w:t>
      </w:r>
    </w:p>
    <w:p w14:paraId="27D54DEC" w14:textId="77777777" w:rsidR="00F8031C" w:rsidRPr="00F8031C" w:rsidRDefault="00F8031C" w:rsidP="00F8031C">
      <w:pPr>
        <w:pStyle w:val="ListParagraph"/>
        <w:numPr>
          <w:ilvl w:val="0"/>
          <w:numId w:val="32"/>
        </w:numPr>
        <w:spacing w:line="360" w:lineRule="auto"/>
        <w:rPr>
          <w:rFonts w:asciiTheme="majorHAnsi" w:hAnsiTheme="majorHAnsi"/>
          <w:sz w:val="24"/>
        </w:rPr>
      </w:pPr>
      <w:r w:rsidRPr="00F8031C">
        <w:rPr>
          <w:rFonts w:asciiTheme="majorHAnsi" w:hAnsiTheme="majorHAnsi"/>
          <w:szCs w:val="21"/>
        </w:rPr>
        <w:t>all families are welcomed and respected at our Service</w:t>
      </w:r>
    </w:p>
    <w:p w14:paraId="3D1B2D21" w14:textId="77777777" w:rsidR="00F8031C" w:rsidRPr="003C34A3" w:rsidRDefault="00F8031C" w:rsidP="00F8031C">
      <w:pPr>
        <w:pStyle w:val="ListParagraph"/>
        <w:numPr>
          <w:ilvl w:val="0"/>
          <w:numId w:val="32"/>
        </w:numPr>
        <w:spacing w:line="360" w:lineRule="auto"/>
        <w:rPr>
          <w:rFonts w:ascii="Calibri Light" w:hAnsi="Calibri Light"/>
          <w:sz w:val="24"/>
        </w:rPr>
      </w:pPr>
      <w:r w:rsidRPr="00F8031C">
        <w:rPr>
          <w:rFonts w:ascii="Calibri Light" w:hAnsi="Calibri Light" w:cs="Calibri"/>
        </w:rPr>
        <w:t xml:space="preserve">ensure </w:t>
      </w:r>
      <w:r w:rsidRPr="003C34A3">
        <w:rPr>
          <w:rFonts w:ascii="Calibri Light" w:hAnsi="Calibri Light" w:cs="Calibri"/>
        </w:rPr>
        <w:t>information communicated with families is reliable and accurate, especially if it involves the health and safety of children, employees and visitors to the Service. (</w:t>
      </w:r>
      <w:proofErr w:type="spellStart"/>
      <w:r w:rsidRPr="003C34A3">
        <w:rPr>
          <w:rFonts w:ascii="Calibri Light" w:hAnsi="Calibri Light" w:cs="Calibri"/>
        </w:rPr>
        <w:t>eg</w:t>
      </w:r>
      <w:proofErr w:type="spellEnd"/>
      <w:r w:rsidRPr="003C34A3">
        <w:rPr>
          <w:rFonts w:ascii="Calibri Light" w:hAnsi="Calibri Light" w:cs="Calibri"/>
        </w:rPr>
        <w:t>: Department of Health, Public Health Units).</w:t>
      </w:r>
    </w:p>
    <w:p w14:paraId="18E47831" w14:textId="77777777" w:rsidR="004D6709" w:rsidRPr="003C34A3" w:rsidRDefault="004D6709" w:rsidP="004D6709">
      <w:pPr>
        <w:pStyle w:val="ListParagraph"/>
        <w:numPr>
          <w:ilvl w:val="0"/>
          <w:numId w:val="32"/>
        </w:numPr>
        <w:spacing w:line="360" w:lineRule="auto"/>
        <w:rPr>
          <w:rFonts w:asciiTheme="majorHAnsi" w:hAnsiTheme="majorHAnsi"/>
          <w:sz w:val="24"/>
        </w:rPr>
      </w:pPr>
      <w:r w:rsidRPr="003C34A3">
        <w:rPr>
          <w:rFonts w:asciiTheme="majorHAnsi" w:hAnsiTheme="majorHAnsi"/>
        </w:rPr>
        <w:t>Families are aware of our open-door policy, unless such entry would pose a risk to the safety of children/educators or breach court orders regarding access to children.</w:t>
      </w:r>
    </w:p>
    <w:p w14:paraId="5A170C75" w14:textId="77777777" w:rsidR="003C34A3" w:rsidRPr="003C34A3" w:rsidRDefault="003C34A3" w:rsidP="003C34A3">
      <w:pPr>
        <w:pStyle w:val="ListParagraph"/>
        <w:numPr>
          <w:ilvl w:val="0"/>
          <w:numId w:val="32"/>
        </w:numPr>
        <w:spacing w:line="360" w:lineRule="auto"/>
        <w:rPr>
          <w:rFonts w:asciiTheme="majorHAnsi" w:hAnsiTheme="majorHAnsi"/>
          <w:sz w:val="24"/>
        </w:rPr>
      </w:pPr>
      <w:r w:rsidRPr="003C34A3">
        <w:rPr>
          <w:rFonts w:asciiTheme="majorHAnsi" w:hAnsiTheme="majorHAnsi"/>
        </w:rPr>
        <w:t>families are provided with a parent/family handbook during the enrolment and orientation process</w:t>
      </w:r>
    </w:p>
    <w:p w14:paraId="0FE3AFDE" w14:textId="77777777" w:rsidR="004D6709" w:rsidRPr="00F53698" w:rsidRDefault="004D6709" w:rsidP="004D6709">
      <w:pPr>
        <w:pStyle w:val="ListParagraph"/>
        <w:numPr>
          <w:ilvl w:val="0"/>
          <w:numId w:val="32"/>
        </w:numPr>
        <w:spacing w:line="360" w:lineRule="auto"/>
        <w:rPr>
          <w:rFonts w:asciiTheme="majorHAnsi" w:hAnsiTheme="majorHAnsi"/>
          <w:sz w:val="24"/>
        </w:rPr>
      </w:pPr>
      <w:r w:rsidRPr="00F53698">
        <w:rPr>
          <w:rFonts w:asciiTheme="majorHAnsi" w:hAnsiTheme="majorHAnsi"/>
        </w:rPr>
        <w:t>Educators provide information to families regarding the content and operation of the educational program in relation to their child</w:t>
      </w:r>
      <w:r>
        <w:rPr>
          <w:rFonts w:asciiTheme="majorHAnsi" w:hAnsiTheme="majorHAnsi"/>
        </w:rPr>
        <w:t>,</w:t>
      </w:r>
      <w:r w:rsidRPr="00F53698">
        <w:rPr>
          <w:rFonts w:asciiTheme="majorHAnsi" w:hAnsiTheme="majorHAnsi"/>
        </w:rPr>
        <w:t xml:space="preserve"> and that a copy of the educational program is available for </w:t>
      </w:r>
      <w:r>
        <w:rPr>
          <w:rFonts w:asciiTheme="majorHAnsi" w:hAnsiTheme="majorHAnsi"/>
        </w:rPr>
        <w:t>viewing</w:t>
      </w:r>
      <w:r w:rsidRPr="00F53698">
        <w:rPr>
          <w:rFonts w:asciiTheme="majorHAnsi" w:hAnsiTheme="majorHAnsi"/>
        </w:rPr>
        <w:t xml:space="preserve"> at the education and care service.</w:t>
      </w:r>
    </w:p>
    <w:p w14:paraId="2CDE96BD" w14:textId="77777777" w:rsidR="004D6709" w:rsidRPr="00F53698" w:rsidRDefault="004D6709" w:rsidP="004D6709">
      <w:pPr>
        <w:pStyle w:val="ListParagraph"/>
        <w:numPr>
          <w:ilvl w:val="0"/>
          <w:numId w:val="32"/>
        </w:numPr>
        <w:spacing w:line="360" w:lineRule="auto"/>
        <w:rPr>
          <w:rFonts w:asciiTheme="majorHAnsi" w:hAnsiTheme="majorHAnsi"/>
          <w:sz w:val="24"/>
        </w:rPr>
      </w:pPr>
      <w:r w:rsidRPr="00F53698">
        <w:rPr>
          <w:rFonts w:asciiTheme="majorHAnsi" w:hAnsiTheme="majorHAnsi"/>
        </w:rPr>
        <w:t>Families have access to their child’s developmental records outlining developmental progress against the framework</w:t>
      </w:r>
      <w:r>
        <w:rPr>
          <w:rFonts w:asciiTheme="majorHAnsi" w:hAnsiTheme="majorHAnsi"/>
        </w:rPr>
        <w:t xml:space="preserve">, as well as </w:t>
      </w:r>
      <w:r w:rsidRPr="00F53698">
        <w:rPr>
          <w:rFonts w:asciiTheme="majorHAnsi" w:hAnsiTheme="majorHAnsi"/>
        </w:rPr>
        <w:t xml:space="preserve">their strengths, </w:t>
      </w:r>
      <w:r>
        <w:rPr>
          <w:rFonts w:asciiTheme="majorHAnsi" w:hAnsiTheme="majorHAnsi"/>
        </w:rPr>
        <w:t xml:space="preserve">developmental </w:t>
      </w:r>
      <w:r w:rsidRPr="00F53698">
        <w:rPr>
          <w:rFonts w:asciiTheme="majorHAnsi" w:hAnsiTheme="majorHAnsi"/>
        </w:rPr>
        <w:t>needs</w:t>
      </w:r>
      <w:r>
        <w:rPr>
          <w:rFonts w:asciiTheme="majorHAnsi" w:hAnsiTheme="majorHAnsi"/>
        </w:rPr>
        <w:t>,</w:t>
      </w:r>
      <w:r w:rsidRPr="00F53698">
        <w:rPr>
          <w:rFonts w:asciiTheme="majorHAnsi" w:hAnsiTheme="majorHAnsi"/>
        </w:rPr>
        <w:t xml:space="preserve"> and interests. </w:t>
      </w:r>
    </w:p>
    <w:p w14:paraId="7249A840" w14:textId="77777777" w:rsidR="004D6709" w:rsidRPr="00115A28" w:rsidRDefault="004D6709" w:rsidP="004D6709">
      <w:pPr>
        <w:pStyle w:val="ListParagraph"/>
        <w:numPr>
          <w:ilvl w:val="0"/>
          <w:numId w:val="32"/>
        </w:numPr>
        <w:spacing w:line="360" w:lineRule="auto"/>
        <w:rPr>
          <w:rFonts w:asciiTheme="majorHAnsi" w:hAnsiTheme="majorHAnsi"/>
          <w:sz w:val="24"/>
        </w:rPr>
      </w:pPr>
      <w:r w:rsidRPr="00115A28">
        <w:rPr>
          <w:rFonts w:asciiTheme="majorHAnsi" w:hAnsiTheme="majorHAnsi"/>
        </w:rPr>
        <w:t>A weekly menu, which accurately describes the food and beverages provided each day, is displayed in a place accessible to parents.</w:t>
      </w:r>
    </w:p>
    <w:p w14:paraId="0EC8860E" w14:textId="77777777" w:rsidR="004D6709" w:rsidRPr="00F53698" w:rsidRDefault="004D6709" w:rsidP="004D6709">
      <w:pPr>
        <w:pStyle w:val="ListParagraph"/>
        <w:numPr>
          <w:ilvl w:val="0"/>
          <w:numId w:val="32"/>
        </w:numPr>
        <w:spacing w:line="360" w:lineRule="auto"/>
        <w:rPr>
          <w:rFonts w:asciiTheme="majorHAnsi" w:hAnsiTheme="majorHAnsi"/>
          <w:sz w:val="24"/>
        </w:rPr>
      </w:pPr>
      <w:r w:rsidRPr="00F53698">
        <w:rPr>
          <w:rFonts w:asciiTheme="majorHAnsi" w:hAnsiTheme="majorHAnsi"/>
        </w:rPr>
        <w:t>Families are notified of any incident, injury, trauma</w:t>
      </w:r>
      <w:r>
        <w:rPr>
          <w:rFonts w:asciiTheme="majorHAnsi" w:hAnsiTheme="majorHAnsi"/>
        </w:rPr>
        <w:t>,</w:t>
      </w:r>
      <w:r w:rsidRPr="00F53698">
        <w:rPr>
          <w:rFonts w:asciiTheme="majorHAnsi" w:hAnsiTheme="majorHAnsi"/>
        </w:rPr>
        <w:t xml:space="preserve"> or illness that </w:t>
      </w:r>
      <w:r>
        <w:rPr>
          <w:rFonts w:asciiTheme="majorHAnsi" w:hAnsiTheme="majorHAnsi"/>
        </w:rPr>
        <w:t>affects</w:t>
      </w:r>
      <w:r w:rsidRPr="00F53698">
        <w:rPr>
          <w:rFonts w:asciiTheme="majorHAnsi" w:hAnsiTheme="majorHAnsi"/>
        </w:rPr>
        <w:t xml:space="preserve"> their child whilst at the Service.</w:t>
      </w:r>
    </w:p>
    <w:p w14:paraId="3DCB82A8" w14:textId="77777777" w:rsidR="004D6709" w:rsidRPr="00F53698" w:rsidRDefault="004D6709" w:rsidP="004D6709">
      <w:pPr>
        <w:pStyle w:val="ListParagraph"/>
        <w:numPr>
          <w:ilvl w:val="0"/>
          <w:numId w:val="32"/>
        </w:numPr>
        <w:spacing w:line="360" w:lineRule="auto"/>
        <w:rPr>
          <w:rFonts w:asciiTheme="majorHAnsi" w:hAnsiTheme="majorHAnsi"/>
          <w:sz w:val="24"/>
        </w:rPr>
      </w:pPr>
      <w:r w:rsidRPr="00F53698">
        <w:rPr>
          <w:rFonts w:asciiTheme="majorHAnsi" w:hAnsiTheme="majorHAnsi"/>
        </w:rPr>
        <w:t>The early childhood environment has an administrative space that is adequate for the purpose of consulting with parents and for conducting private conversations and meetings.</w:t>
      </w:r>
    </w:p>
    <w:p w14:paraId="43602A04" w14:textId="77777777" w:rsidR="004D6709" w:rsidRPr="00F53698" w:rsidRDefault="004D6709" w:rsidP="004D6709">
      <w:pPr>
        <w:pStyle w:val="ListParagraph"/>
        <w:numPr>
          <w:ilvl w:val="0"/>
          <w:numId w:val="32"/>
        </w:numPr>
        <w:spacing w:line="360" w:lineRule="auto"/>
        <w:rPr>
          <w:rFonts w:asciiTheme="majorHAnsi" w:hAnsiTheme="majorHAnsi"/>
          <w:sz w:val="24"/>
        </w:rPr>
      </w:pPr>
      <w:r w:rsidRPr="00F53698">
        <w:rPr>
          <w:rFonts w:asciiTheme="majorHAnsi" w:hAnsiTheme="majorHAnsi"/>
        </w:rPr>
        <w:t xml:space="preserve">Families are notified of changes to Service policies and National Regulations. </w:t>
      </w:r>
    </w:p>
    <w:p w14:paraId="5B38C420" w14:textId="77777777" w:rsidR="004D6709" w:rsidRPr="00F53698" w:rsidRDefault="004D6709" w:rsidP="004D6709">
      <w:pPr>
        <w:pStyle w:val="ListParagraph"/>
        <w:numPr>
          <w:ilvl w:val="0"/>
          <w:numId w:val="32"/>
        </w:numPr>
        <w:spacing w:line="360" w:lineRule="auto"/>
        <w:rPr>
          <w:rFonts w:asciiTheme="majorHAnsi" w:hAnsiTheme="majorHAnsi"/>
          <w:sz w:val="24"/>
        </w:rPr>
      </w:pPr>
      <w:r w:rsidRPr="00F53698">
        <w:rPr>
          <w:rFonts w:asciiTheme="majorHAnsi" w:hAnsiTheme="majorHAnsi"/>
        </w:rPr>
        <w:t xml:space="preserve">The current Education and Care Services National Regulations </w:t>
      </w:r>
      <w:r>
        <w:rPr>
          <w:rFonts w:asciiTheme="majorHAnsi" w:hAnsiTheme="majorHAnsi"/>
        </w:rPr>
        <w:t>are</w:t>
      </w:r>
      <w:r w:rsidRPr="00F53698">
        <w:rPr>
          <w:rFonts w:asciiTheme="majorHAnsi" w:hAnsiTheme="majorHAnsi"/>
        </w:rPr>
        <w:t xml:space="preserve"> available for parents to access</w:t>
      </w:r>
      <w:r>
        <w:rPr>
          <w:rFonts w:asciiTheme="majorHAnsi" w:hAnsiTheme="majorHAnsi"/>
        </w:rPr>
        <w:t>.</w:t>
      </w:r>
    </w:p>
    <w:p w14:paraId="579E2A1C" w14:textId="7F5A6100" w:rsidR="004D6709" w:rsidRPr="00115A28" w:rsidRDefault="004D6709" w:rsidP="00115A28">
      <w:pPr>
        <w:pStyle w:val="ListParagraph"/>
        <w:numPr>
          <w:ilvl w:val="0"/>
          <w:numId w:val="32"/>
        </w:numPr>
        <w:spacing w:line="360" w:lineRule="auto"/>
        <w:rPr>
          <w:rFonts w:asciiTheme="majorHAnsi" w:hAnsiTheme="majorHAnsi"/>
          <w:sz w:val="24"/>
        </w:rPr>
      </w:pPr>
      <w:r w:rsidRPr="00F53698">
        <w:rPr>
          <w:rFonts w:asciiTheme="majorHAnsi" w:hAnsiTheme="majorHAnsi"/>
        </w:rPr>
        <w:t>The enrolment and orientation process provides families with information about the philosophy, policies</w:t>
      </w:r>
      <w:r>
        <w:rPr>
          <w:rFonts w:asciiTheme="majorHAnsi" w:hAnsiTheme="majorHAnsi"/>
        </w:rPr>
        <w:t>,</w:t>
      </w:r>
      <w:r w:rsidRPr="00F53698">
        <w:rPr>
          <w:rFonts w:asciiTheme="majorHAnsi" w:hAnsiTheme="majorHAnsi"/>
        </w:rPr>
        <w:t xml:space="preserve"> and practices of the Service.</w:t>
      </w:r>
      <w:r w:rsidR="00CA7CA4" w:rsidRPr="00115A28">
        <w:rPr>
          <w:rFonts w:asciiTheme="majorHAnsi" w:hAnsiTheme="majorHAnsi"/>
          <w:color w:val="FF0000"/>
        </w:rPr>
        <w:br/>
      </w:r>
    </w:p>
    <w:p w14:paraId="51D5EB48" w14:textId="6C3053B7" w:rsidR="00CA7CA4" w:rsidRPr="00CA7CA4" w:rsidRDefault="00CA7CA4" w:rsidP="00CA7CA4">
      <w:pPr>
        <w:spacing w:after="0" w:line="360" w:lineRule="auto"/>
        <w:rPr>
          <w:rFonts w:asciiTheme="majorHAnsi" w:hAnsiTheme="majorHAnsi"/>
          <w:color w:val="34ABC1"/>
          <w:sz w:val="24"/>
        </w:rPr>
      </w:pPr>
      <w:r>
        <w:rPr>
          <w:rFonts w:asciiTheme="majorHAnsi" w:hAnsiTheme="majorHAnsi"/>
          <w:color w:val="34ABC1"/>
          <w:sz w:val="24"/>
        </w:rPr>
        <w:t>The Nominated Supervisor and Educators will:</w:t>
      </w:r>
    </w:p>
    <w:p w14:paraId="0E7A5842" w14:textId="77777777" w:rsidR="00CA7CA4" w:rsidRPr="00F53698" w:rsidRDefault="00CA7CA4" w:rsidP="00CA7CA4">
      <w:pPr>
        <w:pStyle w:val="ListParagraph"/>
        <w:numPr>
          <w:ilvl w:val="0"/>
          <w:numId w:val="42"/>
        </w:numPr>
        <w:spacing w:line="360" w:lineRule="auto"/>
        <w:rPr>
          <w:rFonts w:asciiTheme="majorHAnsi" w:hAnsiTheme="majorHAnsi"/>
        </w:rPr>
      </w:pPr>
      <w:r w:rsidRPr="00F53698">
        <w:rPr>
          <w:rFonts w:asciiTheme="majorHAnsi" w:hAnsiTheme="majorHAnsi"/>
        </w:rPr>
        <w:t>Inform families about the processes for providing feedback and making complaints.</w:t>
      </w:r>
    </w:p>
    <w:p w14:paraId="069888B6" w14:textId="77777777" w:rsidR="00CA7CA4" w:rsidRPr="00F53698" w:rsidRDefault="00CA7CA4" w:rsidP="00CA7CA4">
      <w:pPr>
        <w:pStyle w:val="ListParagraph"/>
        <w:numPr>
          <w:ilvl w:val="0"/>
          <w:numId w:val="42"/>
        </w:numPr>
        <w:spacing w:line="360" w:lineRule="auto"/>
        <w:rPr>
          <w:rFonts w:asciiTheme="majorHAnsi" w:hAnsiTheme="majorHAnsi"/>
        </w:rPr>
      </w:pPr>
      <w:r w:rsidRPr="00F53698">
        <w:rPr>
          <w:rFonts w:asciiTheme="majorHAnsi" w:hAnsiTheme="majorHAnsi"/>
        </w:rPr>
        <w:t xml:space="preserve">Be available for families on arrival and pick up to </w:t>
      </w:r>
      <w:r>
        <w:rPr>
          <w:rFonts w:asciiTheme="majorHAnsi" w:hAnsiTheme="majorHAnsi"/>
        </w:rPr>
        <w:t>communicate about their child’s day.</w:t>
      </w:r>
    </w:p>
    <w:p w14:paraId="24C17274" w14:textId="77777777" w:rsidR="00CA7CA4" w:rsidRPr="00F53698" w:rsidRDefault="00CA7CA4" w:rsidP="00CA7CA4">
      <w:pPr>
        <w:pStyle w:val="ListParagraph"/>
        <w:numPr>
          <w:ilvl w:val="0"/>
          <w:numId w:val="42"/>
        </w:numPr>
        <w:spacing w:line="360" w:lineRule="auto"/>
        <w:rPr>
          <w:rFonts w:asciiTheme="majorHAnsi" w:hAnsiTheme="majorHAnsi"/>
        </w:rPr>
      </w:pPr>
      <w:r w:rsidRPr="00F53698">
        <w:rPr>
          <w:rFonts w:asciiTheme="majorHAnsi" w:hAnsiTheme="majorHAnsi"/>
        </w:rPr>
        <w:t>Encourage families to be involved in the curriculum, providing feedback, visiting the Service, bringing in items from the home environment</w:t>
      </w:r>
      <w:r>
        <w:rPr>
          <w:rFonts w:asciiTheme="majorHAnsi" w:hAnsiTheme="majorHAnsi"/>
        </w:rPr>
        <w:t>,</w:t>
      </w:r>
      <w:r w:rsidRPr="00F53698">
        <w:rPr>
          <w:rFonts w:asciiTheme="majorHAnsi" w:hAnsiTheme="majorHAnsi"/>
        </w:rPr>
        <w:t xml:space="preserve"> and giving feedback on children’s emerging interests and </w:t>
      </w:r>
      <w:r>
        <w:rPr>
          <w:rFonts w:asciiTheme="majorHAnsi" w:hAnsiTheme="majorHAnsi"/>
        </w:rPr>
        <w:t>developmental concerns</w:t>
      </w:r>
      <w:r w:rsidRPr="00F53698">
        <w:rPr>
          <w:rFonts w:asciiTheme="majorHAnsi" w:hAnsiTheme="majorHAnsi"/>
        </w:rPr>
        <w:t>.</w:t>
      </w:r>
    </w:p>
    <w:p w14:paraId="2C5098CB" w14:textId="77777777" w:rsidR="00CA7CA4" w:rsidRDefault="00CA7CA4" w:rsidP="00CA7CA4">
      <w:pPr>
        <w:pStyle w:val="ListParagraph"/>
        <w:numPr>
          <w:ilvl w:val="0"/>
          <w:numId w:val="42"/>
        </w:numPr>
        <w:spacing w:line="360" w:lineRule="auto"/>
        <w:rPr>
          <w:rFonts w:asciiTheme="majorHAnsi" w:hAnsiTheme="majorHAnsi"/>
        </w:rPr>
      </w:pPr>
      <w:r>
        <w:rPr>
          <w:rFonts w:asciiTheme="majorHAnsi" w:hAnsiTheme="majorHAnsi"/>
        </w:rPr>
        <w:lastRenderedPageBreak/>
        <w:t>Encourage</w:t>
      </w:r>
      <w:r w:rsidRPr="00F53698">
        <w:rPr>
          <w:rFonts w:asciiTheme="majorHAnsi" w:hAnsiTheme="majorHAnsi"/>
        </w:rPr>
        <w:t xml:space="preserve"> </w:t>
      </w:r>
      <w:r>
        <w:rPr>
          <w:rFonts w:asciiTheme="majorHAnsi" w:hAnsiTheme="majorHAnsi"/>
        </w:rPr>
        <w:t>ongoing</w:t>
      </w:r>
      <w:r w:rsidRPr="00F53698">
        <w:rPr>
          <w:rFonts w:asciiTheme="majorHAnsi" w:hAnsiTheme="majorHAnsi"/>
        </w:rPr>
        <w:t xml:space="preserve"> open and direct two-way communication with families</w:t>
      </w:r>
      <w:r>
        <w:rPr>
          <w:rFonts w:asciiTheme="majorHAnsi" w:hAnsiTheme="majorHAnsi"/>
        </w:rPr>
        <w:t xml:space="preserve"> to develop trust and a collaborative relationship</w:t>
      </w:r>
      <w:r w:rsidRPr="00F53698">
        <w:rPr>
          <w:rFonts w:asciiTheme="majorHAnsi" w:hAnsiTheme="majorHAnsi"/>
        </w:rPr>
        <w:t>.</w:t>
      </w:r>
    </w:p>
    <w:p w14:paraId="2B02769E" w14:textId="77777777" w:rsidR="00CA7CA4" w:rsidRPr="00303E05" w:rsidRDefault="00CA7CA4" w:rsidP="00CA7CA4">
      <w:pPr>
        <w:pStyle w:val="ListParagraph"/>
        <w:numPr>
          <w:ilvl w:val="0"/>
          <w:numId w:val="42"/>
        </w:numPr>
        <w:spacing w:line="360" w:lineRule="auto"/>
        <w:rPr>
          <w:rFonts w:asciiTheme="majorHAnsi" w:hAnsiTheme="majorHAnsi"/>
        </w:rPr>
      </w:pPr>
      <w:r w:rsidRPr="00303E05">
        <w:rPr>
          <w:rFonts w:asciiTheme="majorHAnsi" w:hAnsiTheme="majorHAnsi"/>
        </w:rPr>
        <w:t xml:space="preserve">Encourage families to contribute to quality improvement progression within the Service.  </w:t>
      </w:r>
    </w:p>
    <w:p w14:paraId="70F8F53E" w14:textId="2760DDC9" w:rsidR="005D148A" w:rsidRPr="00303E05" w:rsidRDefault="00CA7CA4" w:rsidP="00303E05">
      <w:pPr>
        <w:pStyle w:val="ListParagraph"/>
        <w:numPr>
          <w:ilvl w:val="0"/>
          <w:numId w:val="42"/>
        </w:numPr>
        <w:spacing w:line="360" w:lineRule="auto"/>
        <w:rPr>
          <w:rFonts w:ascii="Calibri Light" w:hAnsi="Calibri Light"/>
          <w:sz w:val="24"/>
        </w:rPr>
      </w:pPr>
      <w:r w:rsidRPr="00F53698">
        <w:rPr>
          <w:rFonts w:ascii="Calibri Light" w:hAnsi="Calibri Light" w:cs="Calibri"/>
        </w:rPr>
        <w:t xml:space="preserve">Provide families with a range of communication methods which </w:t>
      </w:r>
      <w:r>
        <w:rPr>
          <w:rFonts w:ascii="Calibri Light" w:hAnsi="Calibri Light" w:cs="Calibri"/>
        </w:rPr>
        <w:t>may</w:t>
      </w:r>
      <w:r w:rsidRPr="00F53698">
        <w:rPr>
          <w:rFonts w:ascii="Calibri Light" w:hAnsi="Calibri Light" w:cs="Calibri"/>
        </w:rPr>
        <w:t xml:space="preserve"> include emails, verbal communication, newsletters, sign-in sheets, Notice Board and notes sent home.</w:t>
      </w:r>
    </w:p>
    <w:p w14:paraId="10D7F906" w14:textId="61D810FD" w:rsidR="005D148A" w:rsidRPr="00A65228" w:rsidRDefault="004D6709" w:rsidP="005D148A">
      <w:pPr>
        <w:spacing w:after="0" w:line="360" w:lineRule="auto"/>
        <w:rPr>
          <w:rFonts w:asciiTheme="majorHAnsi" w:hAnsiTheme="majorHAnsi"/>
          <w:color w:val="34ABC1"/>
          <w:sz w:val="24"/>
        </w:rPr>
      </w:pPr>
      <w:r>
        <w:rPr>
          <w:rFonts w:asciiTheme="majorHAnsi" w:hAnsiTheme="majorHAnsi"/>
          <w:color w:val="34ABC1"/>
          <w:sz w:val="24"/>
        </w:rPr>
        <w:t>Families</w:t>
      </w:r>
      <w:r w:rsidR="00D85812">
        <w:rPr>
          <w:rFonts w:asciiTheme="majorHAnsi" w:hAnsiTheme="majorHAnsi"/>
          <w:color w:val="34ABC1"/>
          <w:sz w:val="24"/>
        </w:rPr>
        <w:t xml:space="preserve"> will</w:t>
      </w:r>
    </w:p>
    <w:p w14:paraId="4B91F280" w14:textId="77777777" w:rsidR="004D6709" w:rsidRPr="00F53698" w:rsidRDefault="004D6709" w:rsidP="004D6709">
      <w:pPr>
        <w:pStyle w:val="ListParagraph"/>
        <w:numPr>
          <w:ilvl w:val="0"/>
          <w:numId w:val="34"/>
        </w:numPr>
        <w:spacing w:line="360" w:lineRule="auto"/>
        <w:rPr>
          <w:rFonts w:ascii="Calibri Light" w:hAnsi="Calibri Light"/>
        </w:rPr>
      </w:pPr>
      <w:r w:rsidRPr="00F53698">
        <w:rPr>
          <w:rFonts w:ascii="Calibri Light" w:hAnsi="Calibri Light"/>
        </w:rPr>
        <w:t>Provide accurate information on enrolment and medical information forms during the enrolment</w:t>
      </w:r>
      <w:r>
        <w:rPr>
          <w:rFonts w:ascii="Calibri Light" w:hAnsi="Calibri Light"/>
        </w:rPr>
        <w:t xml:space="preserve"> process</w:t>
      </w:r>
      <w:r w:rsidRPr="00F53698">
        <w:rPr>
          <w:rFonts w:ascii="Calibri Light" w:hAnsi="Calibri Light"/>
        </w:rPr>
        <w:t>.</w:t>
      </w:r>
    </w:p>
    <w:p w14:paraId="39110260" w14:textId="77777777" w:rsidR="004D6709" w:rsidRPr="00F53698" w:rsidRDefault="004D6709" w:rsidP="004D6709">
      <w:pPr>
        <w:pStyle w:val="ListParagraph"/>
        <w:numPr>
          <w:ilvl w:val="0"/>
          <w:numId w:val="34"/>
        </w:numPr>
        <w:spacing w:line="360" w:lineRule="auto"/>
        <w:rPr>
          <w:rFonts w:ascii="Calibri Light" w:hAnsi="Calibri Light"/>
        </w:rPr>
      </w:pPr>
      <w:r>
        <w:rPr>
          <w:rFonts w:ascii="Calibri Light" w:hAnsi="Calibri Light"/>
        </w:rPr>
        <w:t>N</w:t>
      </w:r>
      <w:r w:rsidRPr="00F53698">
        <w:rPr>
          <w:rFonts w:ascii="Calibri Light" w:hAnsi="Calibri Light"/>
        </w:rPr>
        <w:t xml:space="preserve">otify educators when any information changes. </w:t>
      </w:r>
    </w:p>
    <w:p w14:paraId="5C94E99A" w14:textId="77777777" w:rsidR="004D6709" w:rsidRPr="00F53698" w:rsidRDefault="004D6709" w:rsidP="004D6709">
      <w:pPr>
        <w:pStyle w:val="ListParagraph"/>
        <w:numPr>
          <w:ilvl w:val="0"/>
          <w:numId w:val="34"/>
        </w:numPr>
        <w:spacing w:line="360" w:lineRule="auto"/>
        <w:rPr>
          <w:rFonts w:ascii="Calibri Light" w:hAnsi="Calibri Light"/>
        </w:rPr>
      </w:pPr>
      <w:r w:rsidRPr="00F53698">
        <w:rPr>
          <w:rFonts w:ascii="Calibri Light" w:hAnsi="Calibri Light"/>
        </w:rPr>
        <w:t>Be requested</w:t>
      </w:r>
      <w:r>
        <w:rPr>
          <w:rFonts w:ascii="Calibri Light" w:hAnsi="Calibri Light"/>
        </w:rPr>
        <w:t xml:space="preserve"> </w:t>
      </w:r>
      <w:r w:rsidRPr="00F53698">
        <w:rPr>
          <w:rFonts w:ascii="Calibri Light" w:hAnsi="Calibri Light"/>
        </w:rPr>
        <w:t>to contribute to the quality improvement progression within the Service.</w:t>
      </w:r>
    </w:p>
    <w:p w14:paraId="57D292C9" w14:textId="77777777" w:rsidR="004D6709" w:rsidRPr="00F53698" w:rsidRDefault="004D6709" w:rsidP="004D6709">
      <w:pPr>
        <w:pStyle w:val="ListParagraph"/>
        <w:numPr>
          <w:ilvl w:val="0"/>
          <w:numId w:val="34"/>
        </w:numPr>
        <w:spacing w:line="360" w:lineRule="auto"/>
        <w:rPr>
          <w:rFonts w:ascii="Calibri Light" w:hAnsi="Calibri Light"/>
        </w:rPr>
      </w:pPr>
      <w:r w:rsidRPr="00F53698">
        <w:rPr>
          <w:rFonts w:ascii="Calibri Light" w:hAnsi="Calibri Light"/>
        </w:rPr>
        <w:t>Be encouraged to attend children’s excursions to help meet required ratios and to support their children’s knowledge of and engagement in their community.</w:t>
      </w:r>
    </w:p>
    <w:p w14:paraId="317F31B1" w14:textId="77777777" w:rsidR="004D6709" w:rsidRPr="00F53698" w:rsidRDefault="004D6709" w:rsidP="004D6709">
      <w:pPr>
        <w:pStyle w:val="ListParagraph"/>
        <w:numPr>
          <w:ilvl w:val="0"/>
          <w:numId w:val="34"/>
        </w:numPr>
        <w:spacing w:line="360" w:lineRule="auto"/>
        <w:rPr>
          <w:rFonts w:ascii="Calibri Light" w:hAnsi="Calibri Light"/>
        </w:rPr>
      </w:pPr>
      <w:r w:rsidRPr="00F53698">
        <w:rPr>
          <w:rFonts w:ascii="Calibri Light" w:hAnsi="Calibri Light"/>
        </w:rPr>
        <w:t xml:space="preserve">Be invited to events held periodically to help families network and develop friendships in the local community. </w:t>
      </w:r>
    </w:p>
    <w:p w14:paraId="07C372AB" w14:textId="2A9EE59F" w:rsidR="00D85812" w:rsidRPr="00303E05" w:rsidRDefault="004D6709" w:rsidP="00303E05">
      <w:pPr>
        <w:pStyle w:val="ListParagraph"/>
        <w:numPr>
          <w:ilvl w:val="0"/>
          <w:numId w:val="34"/>
        </w:numPr>
        <w:spacing w:line="360" w:lineRule="auto"/>
        <w:rPr>
          <w:rFonts w:ascii="Calibri Light" w:hAnsi="Calibri Light"/>
        </w:rPr>
      </w:pPr>
      <w:r w:rsidRPr="00F53698">
        <w:rPr>
          <w:rFonts w:ascii="Calibri Light" w:hAnsi="Calibri Light"/>
        </w:rPr>
        <w:t xml:space="preserve">Be </w:t>
      </w:r>
      <w:r>
        <w:rPr>
          <w:rFonts w:ascii="Calibri Light" w:hAnsi="Calibri Light"/>
        </w:rPr>
        <w:t>invited</w:t>
      </w:r>
      <w:r w:rsidRPr="00F53698">
        <w:rPr>
          <w:rFonts w:ascii="Calibri Light" w:hAnsi="Calibri Light"/>
        </w:rPr>
        <w:t xml:space="preserve"> to review the centre policies, children’s goals and routines. </w:t>
      </w:r>
      <w:r w:rsidR="00D85812" w:rsidRPr="00303E05">
        <w:rPr>
          <w:rFonts w:asciiTheme="majorHAnsi" w:hAnsiTheme="majorHAnsi" w:cs="Calibri"/>
        </w:rPr>
        <w:br/>
      </w:r>
    </w:p>
    <w:p w14:paraId="0A8D6C8A" w14:textId="77777777" w:rsidR="0091665B" w:rsidRPr="0091665B" w:rsidRDefault="0091665B" w:rsidP="0091665B">
      <w:pPr>
        <w:spacing w:line="360" w:lineRule="auto"/>
        <w:rPr>
          <w:rFonts w:cs="Arial"/>
          <w:sz w:val="24"/>
          <w:szCs w:val="24"/>
          <w:lang w:val="en-US"/>
        </w:rPr>
      </w:pPr>
      <w:r w:rsidRPr="0091665B">
        <w:rPr>
          <w:rFonts w:cs="Arial"/>
          <w:sz w:val="24"/>
          <w:szCs w:val="24"/>
          <w:lang w:val="en-US"/>
        </w:rPr>
        <w:t>Source</w:t>
      </w:r>
    </w:p>
    <w:p w14:paraId="6E89A519" w14:textId="77777777" w:rsidR="0091665B" w:rsidRPr="0091665B" w:rsidRDefault="0091665B" w:rsidP="0091665B">
      <w:pPr>
        <w:pStyle w:val="ListParagraph"/>
        <w:numPr>
          <w:ilvl w:val="0"/>
          <w:numId w:val="34"/>
        </w:numPr>
        <w:spacing w:after="0" w:line="360" w:lineRule="auto"/>
        <w:rPr>
          <w:rFonts w:asciiTheme="majorHAnsi" w:hAnsiTheme="majorHAnsi"/>
          <w:b/>
          <w:sz w:val="20"/>
          <w:szCs w:val="20"/>
        </w:rPr>
      </w:pPr>
      <w:r w:rsidRPr="0091665B">
        <w:rPr>
          <w:rFonts w:asciiTheme="majorHAnsi" w:hAnsiTheme="majorHAnsi"/>
          <w:sz w:val="20"/>
          <w:szCs w:val="20"/>
        </w:rPr>
        <w:t xml:space="preserve">Australian Children’s Education &amp; Care Quality Authority. (2014). </w:t>
      </w:r>
    </w:p>
    <w:p w14:paraId="318FAE6A" w14:textId="77777777" w:rsidR="0091665B" w:rsidRPr="0091665B" w:rsidRDefault="0091665B" w:rsidP="0091665B">
      <w:pPr>
        <w:pStyle w:val="ListParagraph"/>
        <w:numPr>
          <w:ilvl w:val="0"/>
          <w:numId w:val="34"/>
        </w:numPr>
        <w:spacing w:after="0" w:line="360" w:lineRule="auto"/>
        <w:rPr>
          <w:rFonts w:asciiTheme="majorHAnsi" w:hAnsiTheme="majorHAnsi"/>
          <w:b/>
          <w:sz w:val="20"/>
          <w:szCs w:val="20"/>
        </w:rPr>
      </w:pPr>
      <w:r w:rsidRPr="0091665B">
        <w:rPr>
          <w:rFonts w:asciiTheme="majorHAnsi" w:hAnsiTheme="majorHAnsi"/>
          <w:sz w:val="20"/>
          <w:szCs w:val="20"/>
        </w:rPr>
        <w:t xml:space="preserve">Australian Government. Department of Education, Skills and Employment. </w:t>
      </w:r>
      <w:r w:rsidRPr="0091665B">
        <w:rPr>
          <w:rFonts w:asciiTheme="majorHAnsi" w:hAnsiTheme="majorHAnsi"/>
          <w:i/>
          <w:iCs/>
          <w:sz w:val="20"/>
          <w:szCs w:val="20"/>
        </w:rPr>
        <w:t>Belonging, Being and Becoming: The Early Years Learning Framework for Australia</w:t>
      </w:r>
      <w:r w:rsidRPr="0091665B">
        <w:rPr>
          <w:rFonts w:asciiTheme="majorHAnsi" w:hAnsiTheme="majorHAnsi"/>
          <w:sz w:val="20"/>
          <w:szCs w:val="20"/>
        </w:rPr>
        <w:t xml:space="preserve">. (2009). </w:t>
      </w:r>
    </w:p>
    <w:p w14:paraId="7022D592" w14:textId="77777777" w:rsidR="0091665B" w:rsidRPr="0091665B" w:rsidRDefault="0091665B" w:rsidP="0091665B">
      <w:pPr>
        <w:pStyle w:val="ListParagraph"/>
        <w:numPr>
          <w:ilvl w:val="0"/>
          <w:numId w:val="34"/>
        </w:numPr>
        <w:spacing w:after="0" w:line="360" w:lineRule="auto"/>
        <w:rPr>
          <w:rFonts w:asciiTheme="majorHAnsi" w:hAnsiTheme="majorHAnsi"/>
          <w:b/>
          <w:sz w:val="20"/>
          <w:szCs w:val="20"/>
        </w:rPr>
      </w:pPr>
      <w:r w:rsidRPr="0091665B">
        <w:rPr>
          <w:rFonts w:asciiTheme="majorHAnsi" w:hAnsiTheme="majorHAnsi"/>
          <w:sz w:val="20"/>
          <w:szCs w:val="20"/>
        </w:rPr>
        <w:t>Early Childhood Australia Code of Ethics. (2016).</w:t>
      </w:r>
    </w:p>
    <w:p w14:paraId="036843AB" w14:textId="77777777" w:rsidR="0091665B" w:rsidRPr="0091665B" w:rsidRDefault="0091665B" w:rsidP="0091665B">
      <w:pPr>
        <w:pStyle w:val="ListParagraph"/>
        <w:numPr>
          <w:ilvl w:val="0"/>
          <w:numId w:val="34"/>
        </w:numPr>
        <w:spacing w:after="0" w:line="360" w:lineRule="auto"/>
        <w:rPr>
          <w:rFonts w:asciiTheme="majorHAnsi" w:hAnsiTheme="majorHAnsi"/>
          <w:b/>
          <w:sz w:val="20"/>
          <w:szCs w:val="20"/>
        </w:rPr>
      </w:pPr>
      <w:r w:rsidRPr="0091665B">
        <w:rPr>
          <w:rFonts w:asciiTheme="majorHAnsi" w:hAnsiTheme="majorHAnsi"/>
          <w:sz w:val="20"/>
          <w:szCs w:val="20"/>
        </w:rPr>
        <w:t xml:space="preserve">Guide to the Education and Care Services National Law and the Education and Care Services National Regulations. </w:t>
      </w:r>
      <w:r w:rsidRPr="0091665B">
        <w:rPr>
          <w:rFonts w:asciiTheme="majorHAnsi" w:hAnsiTheme="majorHAnsi"/>
          <w:strike/>
          <w:sz w:val="20"/>
          <w:szCs w:val="20"/>
        </w:rPr>
        <w:t xml:space="preserve">(2017). </w:t>
      </w:r>
      <w:r w:rsidRPr="0091665B">
        <w:rPr>
          <w:rFonts w:asciiTheme="majorHAnsi" w:hAnsiTheme="majorHAnsi"/>
          <w:sz w:val="20"/>
          <w:szCs w:val="20"/>
        </w:rPr>
        <w:t>(2020)</w:t>
      </w:r>
    </w:p>
    <w:p w14:paraId="51F8B3E3" w14:textId="77777777" w:rsidR="0091665B" w:rsidRPr="0091665B" w:rsidRDefault="0091665B" w:rsidP="0091665B">
      <w:pPr>
        <w:pStyle w:val="ListParagraph"/>
        <w:numPr>
          <w:ilvl w:val="0"/>
          <w:numId w:val="34"/>
        </w:numPr>
        <w:spacing w:after="0" w:line="360" w:lineRule="auto"/>
        <w:rPr>
          <w:rFonts w:asciiTheme="majorHAnsi" w:hAnsiTheme="majorHAnsi"/>
          <w:b/>
          <w:sz w:val="20"/>
          <w:szCs w:val="20"/>
        </w:rPr>
      </w:pPr>
      <w:r w:rsidRPr="0091665B">
        <w:rPr>
          <w:rFonts w:asciiTheme="majorHAnsi" w:hAnsiTheme="majorHAnsi"/>
          <w:sz w:val="20"/>
          <w:szCs w:val="20"/>
        </w:rPr>
        <w:t>Guide to the National Quality Standard. (2017).</w:t>
      </w:r>
    </w:p>
    <w:p w14:paraId="4D19F138" w14:textId="77777777" w:rsidR="0091665B" w:rsidRPr="0091665B" w:rsidRDefault="0091665B" w:rsidP="0091665B">
      <w:pPr>
        <w:pStyle w:val="ListParagraph"/>
        <w:numPr>
          <w:ilvl w:val="0"/>
          <w:numId w:val="34"/>
        </w:numPr>
        <w:spacing w:after="0" w:line="360" w:lineRule="auto"/>
        <w:rPr>
          <w:sz w:val="20"/>
          <w:szCs w:val="20"/>
        </w:rPr>
      </w:pPr>
      <w:r w:rsidRPr="0091665B">
        <w:rPr>
          <w:rFonts w:asciiTheme="majorHAnsi" w:hAnsiTheme="majorHAnsi"/>
          <w:sz w:val="20"/>
          <w:szCs w:val="20"/>
        </w:rPr>
        <w:t xml:space="preserve">Raising Children Network Australia. (2006-2019). </w:t>
      </w:r>
      <w:r w:rsidRPr="0091665B">
        <w:rPr>
          <w:rFonts w:asciiTheme="majorHAnsi" w:hAnsiTheme="majorHAnsi"/>
          <w:i/>
          <w:sz w:val="20"/>
          <w:szCs w:val="20"/>
        </w:rPr>
        <w:t>Effective communication with parents: professionals</w:t>
      </w:r>
      <w:r w:rsidRPr="0091665B">
        <w:rPr>
          <w:rFonts w:asciiTheme="majorHAnsi" w:hAnsiTheme="majorHAnsi"/>
          <w:sz w:val="20"/>
          <w:szCs w:val="20"/>
        </w:rPr>
        <w:t xml:space="preserve"> </w:t>
      </w:r>
      <w:hyperlink r:id="rId8" w:history="1">
        <w:r w:rsidRPr="0091665B">
          <w:rPr>
            <w:rStyle w:val="Hyperlink"/>
            <w:rFonts w:asciiTheme="majorHAnsi" w:hAnsiTheme="majorHAnsi" w:cstheme="majorHAnsi"/>
            <w:sz w:val="20"/>
            <w:szCs w:val="20"/>
          </w:rPr>
          <w:t>https://raisingchildren.net.au/for-professionals/working-with-parents/communicating-with-parents/communication-with-parents</w:t>
        </w:r>
      </w:hyperlink>
    </w:p>
    <w:p w14:paraId="7747BE71" w14:textId="77777777" w:rsidR="0091665B" w:rsidRPr="0091665B" w:rsidRDefault="0091665B" w:rsidP="0091665B">
      <w:pPr>
        <w:pStyle w:val="ListParagraph"/>
        <w:numPr>
          <w:ilvl w:val="0"/>
          <w:numId w:val="34"/>
        </w:numPr>
        <w:spacing w:after="0" w:line="360" w:lineRule="auto"/>
        <w:rPr>
          <w:rFonts w:asciiTheme="majorHAnsi" w:hAnsiTheme="majorHAnsi"/>
          <w:b/>
          <w:sz w:val="20"/>
          <w:szCs w:val="20"/>
        </w:rPr>
      </w:pPr>
      <w:r w:rsidRPr="0091665B">
        <w:rPr>
          <w:rFonts w:asciiTheme="majorHAnsi" w:hAnsiTheme="majorHAnsi"/>
          <w:sz w:val="20"/>
          <w:szCs w:val="20"/>
        </w:rPr>
        <w:t>Revised National Quality Standard. (2018).</w:t>
      </w:r>
    </w:p>
    <w:p w14:paraId="1661F1BC" w14:textId="77777777" w:rsidR="0091665B" w:rsidRPr="0091665B" w:rsidRDefault="0091665B" w:rsidP="0091665B">
      <w:pPr>
        <w:pStyle w:val="ListParagraph"/>
        <w:numPr>
          <w:ilvl w:val="0"/>
          <w:numId w:val="34"/>
        </w:numPr>
        <w:spacing w:after="0" w:line="360" w:lineRule="auto"/>
        <w:rPr>
          <w:sz w:val="20"/>
          <w:szCs w:val="20"/>
        </w:rPr>
      </w:pPr>
      <w:proofErr w:type="spellStart"/>
      <w:r w:rsidRPr="0091665B">
        <w:rPr>
          <w:rFonts w:asciiTheme="majorHAnsi" w:hAnsiTheme="majorHAnsi"/>
          <w:bCs/>
          <w:sz w:val="20"/>
          <w:szCs w:val="20"/>
        </w:rPr>
        <w:t>Yorganop</w:t>
      </w:r>
      <w:proofErr w:type="spellEnd"/>
      <w:r w:rsidRPr="0091665B">
        <w:rPr>
          <w:rFonts w:asciiTheme="majorHAnsi" w:hAnsiTheme="majorHAnsi"/>
          <w:bCs/>
          <w:sz w:val="20"/>
          <w:szCs w:val="20"/>
        </w:rPr>
        <w:t xml:space="preserve"> Indigenous Professional Support Unit </w:t>
      </w:r>
      <w:r w:rsidRPr="0091665B">
        <w:rPr>
          <w:rFonts w:asciiTheme="majorHAnsi" w:hAnsiTheme="majorHAnsi"/>
          <w:bCs/>
          <w:i/>
          <w:iCs/>
          <w:sz w:val="20"/>
          <w:szCs w:val="20"/>
        </w:rPr>
        <w:t>A Welcoming Yarn Engaging with Aboriginal and Torres Strait Islander Children and their Families in Education and Care Settings</w:t>
      </w:r>
      <w:r w:rsidRPr="0091665B">
        <w:rPr>
          <w:rFonts w:asciiTheme="majorHAnsi" w:hAnsiTheme="majorHAnsi"/>
          <w:bCs/>
          <w:sz w:val="20"/>
          <w:szCs w:val="20"/>
        </w:rPr>
        <w:t>. (2017).</w:t>
      </w:r>
      <w:r w:rsidRPr="0091665B">
        <w:rPr>
          <w:sz w:val="20"/>
          <w:szCs w:val="20"/>
        </w:rPr>
        <w:t xml:space="preserve"> </w:t>
      </w:r>
      <w:hyperlink r:id="rId9" w:history="1">
        <w:r w:rsidRPr="0091665B">
          <w:rPr>
            <w:rStyle w:val="Hyperlink"/>
            <w:rFonts w:asciiTheme="majorHAnsi" w:hAnsiTheme="majorHAnsi" w:cstheme="majorHAnsi"/>
            <w:sz w:val="20"/>
            <w:szCs w:val="20"/>
          </w:rPr>
          <w:t>https://childaustralia.org.au/wp-content/uploads/2017/02/A-Welcoming-Yarn-2016-Final.pdf</w:t>
        </w:r>
      </w:hyperlink>
    </w:p>
    <w:p w14:paraId="70E5AB73" w14:textId="228EFFED" w:rsidR="00E5094F" w:rsidRDefault="00E5094F" w:rsidP="005F1D6D">
      <w:pPr>
        <w:spacing w:line="240" w:lineRule="auto"/>
        <w:rPr>
          <w:rFonts w:asciiTheme="majorHAnsi" w:hAnsiTheme="majorHAnsi"/>
          <w:b/>
          <w:sz w:val="18"/>
        </w:rPr>
      </w:pPr>
    </w:p>
    <w:p w14:paraId="62FCF373" w14:textId="1D146024" w:rsidR="001B7DF2" w:rsidRDefault="001B7DF2" w:rsidP="005F1D6D">
      <w:pPr>
        <w:spacing w:line="240" w:lineRule="auto"/>
        <w:rPr>
          <w:rFonts w:asciiTheme="majorHAnsi" w:hAnsiTheme="majorHAnsi"/>
          <w:b/>
          <w:sz w:val="18"/>
        </w:rPr>
      </w:pPr>
    </w:p>
    <w:p w14:paraId="31B904FE" w14:textId="77777777" w:rsidR="001B7DF2" w:rsidRDefault="001B7DF2" w:rsidP="005F1D6D">
      <w:pPr>
        <w:spacing w:line="240" w:lineRule="auto"/>
        <w:rPr>
          <w:rFonts w:asciiTheme="majorHAnsi" w:hAnsiTheme="majorHAnsi"/>
          <w:b/>
          <w:sz w:val="18"/>
        </w:rPr>
      </w:pPr>
    </w:p>
    <w:p w14:paraId="621A25F9" w14:textId="77777777" w:rsidR="00D85812" w:rsidRDefault="00D85812"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5CAA3370" w:rsidR="00954BF1" w:rsidRPr="009C4400" w:rsidRDefault="001B7DF2" w:rsidP="00D85812">
            <w:pPr>
              <w:rPr>
                <w:rFonts w:ascii="Calibri Light" w:hAnsi="Calibri Light"/>
                <w:color w:val="000000" w:themeColor="text1"/>
                <w:sz w:val="24"/>
                <w:szCs w:val="24"/>
              </w:rPr>
            </w:pPr>
            <w:r>
              <w:rPr>
                <w:rFonts w:asciiTheme="majorHAnsi" w:hAnsiTheme="majorHAnsi"/>
                <w:sz w:val="24"/>
                <w:szCs w:val="24"/>
              </w:rPr>
              <w:t>December 2020</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52620465" w:rsidR="00954BF1" w:rsidRPr="00093E2D" w:rsidRDefault="00303E05" w:rsidP="00A81408">
            <w:pPr>
              <w:jc w:val="center"/>
              <w:rPr>
                <w:rFonts w:ascii="Calibri Light" w:hAnsi="Calibri Light"/>
                <w:color w:val="000000" w:themeColor="text1"/>
                <w:sz w:val="24"/>
                <w:szCs w:val="24"/>
              </w:rPr>
            </w:pPr>
            <w:r>
              <w:rPr>
                <w:rFonts w:asciiTheme="majorHAnsi" w:hAnsiTheme="majorHAnsi"/>
                <w:sz w:val="24"/>
                <w:szCs w:val="24"/>
              </w:rPr>
              <w:t>November</w:t>
            </w:r>
            <w:r w:rsidR="00D85812">
              <w:rPr>
                <w:rFonts w:asciiTheme="majorHAnsi" w:hAnsiTheme="majorHAnsi"/>
                <w:sz w:val="24"/>
                <w:szCs w:val="24"/>
              </w:rPr>
              <w:t xml:space="preserve"> </w:t>
            </w:r>
            <w:r w:rsidR="00E5094F">
              <w:rPr>
                <w:rFonts w:asciiTheme="majorHAnsi" w:hAnsiTheme="majorHAnsi"/>
                <w:sz w:val="24"/>
                <w:szCs w:val="24"/>
              </w:rPr>
              <w:t>202</w:t>
            </w:r>
            <w:r w:rsidR="001B7DF2">
              <w:rPr>
                <w:rFonts w:asciiTheme="majorHAnsi" w:hAnsiTheme="majorHAnsi"/>
                <w:sz w:val="24"/>
                <w:szCs w:val="24"/>
              </w:rPr>
              <w:t>1</w:t>
            </w:r>
          </w:p>
        </w:tc>
      </w:tr>
      <w:tr w:rsidR="00954BF1" w14:paraId="3F679D1B" w14:textId="77777777" w:rsidTr="00D85812">
        <w:trPr>
          <w:trHeight w:val="1325"/>
        </w:trPr>
        <w:tc>
          <w:tcPr>
            <w:tcW w:w="2235" w:type="dxa"/>
            <w:vAlign w:val="center"/>
          </w:tcPr>
          <w:p w14:paraId="1C5D005C" w14:textId="77777777" w:rsidR="00954BF1" w:rsidRPr="00CB4393" w:rsidRDefault="00954BF1" w:rsidP="00A81408">
            <w:pPr>
              <w:jc w:val="center"/>
              <w:rPr>
                <w:rFonts w:asciiTheme="majorHAnsi" w:hAnsiTheme="majorHAnsi"/>
              </w:rPr>
            </w:pPr>
            <w:r w:rsidRPr="00CB4393">
              <w:rPr>
                <w:rFonts w:ascii="Calibri Light" w:hAnsi="Calibri Light"/>
                <w:color w:val="000000" w:themeColor="text1"/>
                <w:sz w:val="24"/>
                <w:szCs w:val="24"/>
              </w:rPr>
              <w:t>MODIFICATIONS</w:t>
            </w:r>
          </w:p>
        </w:tc>
        <w:tc>
          <w:tcPr>
            <w:tcW w:w="6751" w:type="dxa"/>
            <w:gridSpan w:val="4"/>
            <w:vAlign w:val="center"/>
          </w:tcPr>
          <w:p w14:paraId="5756D428" w14:textId="77777777" w:rsidR="00CB4393" w:rsidRPr="00CB4393" w:rsidRDefault="00CB4393" w:rsidP="00CB4393">
            <w:pPr>
              <w:pStyle w:val="ListParagraph"/>
              <w:numPr>
                <w:ilvl w:val="0"/>
                <w:numId w:val="9"/>
              </w:numPr>
              <w:rPr>
                <w:rFonts w:ascii="Calibri Light" w:hAnsi="Calibri Light"/>
              </w:rPr>
            </w:pPr>
            <w:r w:rsidRPr="00CB4393">
              <w:rPr>
                <w:rFonts w:ascii="Calibri Light" w:hAnsi="Calibri Light"/>
              </w:rPr>
              <w:t>National regulations added</w:t>
            </w:r>
          </w:p>
          <w:p w14:paraId="3915E8CF" w14:textId="77777777" w:rsidR="00CB4393" w:rsidRPr="00CB4393" w:rsidRDefault="00CB4393" w:rsidP="00CB4393">
            <w:pPr>
              <w:pStyle w:val="ListParagraph"/>
              <w:numPr>
                <w:ilvl w:val="0"/>
                <w:numId w:val="9"/>
              </w:numPr>
              <w:rPr>
                <w:rFonts w:ascii="Calibri Light" w:hAnsi="Calibri Light"/>
              </w:rPr>
            </w:pPr>
            <w:r w:rsidRPr="00CB4393">
              <w:rPr>
                <w:rFonts w:ascii="Calibri Light" w:hAnsi="Calibri Light"/>
              </w:rPr>
              <w:t>additional related policies included</w:t>
            </w:r>
          </w:p>
          <w:p w14:paraId="189124B8" w14:textId="77777777" w:rsidR="00CB4393" w:rsidRPr="00CB4393" w:rsidRDefault="00CB4393" w:rsidP="00CB4393">
            <w:pPr>
              <w:pStyle w:val="ListParagraph"/>
              <w:numPr>
                <w:ilvl w:val="0"/>
                <w:numId w:val="9"/>
              </w:numPr>
              <w:rPr>
                <w:rFonts w:ascii="Calibri Light" w:hAnsi="Calibri Light"/>
              </w:rPr>
            </w:pPr>
            <w:r w:rsidRPr="00CB4393">
              <w:rPr>
                <w:rFonts w:ascii="Calibri Light" w:hAnsi="Calibri Light"/>
              </w:rPr>
              <w:t>further content added to points</w:t>
            </w:r>
          </w:p>
          <w:p w14:paraId="133A6051" w14:textId="77777777" w:rsidR="00CB4393" w:rsidRPr="00CB4393" w:rsidRDefault="00CB4393" w:rsidP="00CB4393">
            <w:pPr>
              <w:pStyle w:val="ListParagraph"/>
              <w:numPr>
                <w:ilvl w:val="0"/>
                <w:numId w:val="9"/>
              </w:numPr>
              <w:rPr>
                <w:rFonts w:ascii="Calibri Light" w:hAnsi="Calibri Light"/>
              </w:rPr>
            </w:pPr>
            <w:r w:rsidRPr="00CB4393">
              <w:rPr>
                <w:rFonts w:ascii="Calibri Light" w:hAnsi="Calibri Light"/>
              </w:rPr>
              <w:t xml:space="preserve">inclusion of culturally and linguistically diverse families </w:t>
            </w:r>
          </w:p>
          <w:p w14:paraId="29F537BA" w14:textId="418DC31D" w:rsidR="00954BF1" w:rsidRPr="00CB4393" w:rsidRDefault="00CB4393" w:rsidP="00CB4393">
            <w:pPr>
              <w:pStyle w:val="ListParagraph"/>
              <w:numPr>
                <w:ilvl w:val="0"/>
                <w:numId w:val="9"/>
              </w:numPr>
              <w:rPr>
                <w:rFonts w:ascii="Calibri Light" w:hAnsi="Calibri Light"/>
              </w:rPr>
            </w:pPr>
            <w:r w:rsidRPr="00CB4393">
              <w:rPr>
                <w:rFonts w:ascii="Calibri Light" w:hAnsi="Calibri Light"/>
              </w:rPr>
              <w:t>further sources added</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954BF1" w14:paraId="2521A769" w14:textId="77777777" w:rsidTr="00D85812">
        <w:trPr>
          <w:trHeight w:val="786"/>
        </w:trPr>
        <w:tc>
          <w:tcPr>
            <w:tcW w:w="2235" w:type="dxa"/>
            <w:vAlign w:val="center"/>
          </w:tcPr>
          <w:p w14:paraId="0CFDCE50" w14:textId="2EE4EE9C" w:rsidR="00954BF1" w:rsidRPr="009C4400" w:rsidRDefault="00D85812" w:rsidP="00A81408">
            <w:pPr>
              <w:jc w:val="center"/>
              <w:rPr>
                <w:rFonts w:ascii="Calibri Light" w:hAnsi="Calibri Light"/>
                <w:color w:val="000000" w:themeColor="text1"/>
                <w:sz w:val="24"/>
                <w:szCs w:val="24"/>
              </w:rPr>
            </w:pPr>
            <w:r>
              <w:rPr>
                <w:rFonts w:asciiTheme="majorHAnsi" w:hAnsiTheme="majorHAnsi"/>
                <w:sz w:val="24"/>
                <w:szCs w:val="24"/>
              </w:rPr>
              <w:t>April</w:t>
            </w:r>
            <w:r w:rsidR="00E5094F">
              <w:rPr>
                <w:rFonts w:ascii="Calibri Light" w:hAnsi="Calibri Light"/>
                <w:color w:val="000000" w:themeColor="text1"/>
                <w:sz w:val="24"/>
                <w:szCs w:val="24"/>
              </w:rPr>
              <w:t xml:space="preserve"> 2018</w:t>
            </w:r>
          </w:p>
        </w:tc>
        <w:tc>
          <w:tcPr>
            <w:tcW w:w="4500" w:type="dxa"/>
            <w:gridSpan w:val="2"/>
            <w:vAlign w:val="center"/>
          </w:tcPr>
          <w:p w14:paraId="32AC35E4" w14:textId="55A5BACC" w:rsidR="004D6709" w:rsidRPr="004D6709" w:rsidRDefault="004D6709" w:rsidP="004D6709">
            <w:pPr>
              <w:pStyle w:val="ListParagraph"/>
              <w:numPr>
                <w:ilvl w:val="0"/>
                <w:numId w:val="40"/>
              </w:numPr>
              <w:rPr>
                <w:rFonts w:ascii="Calibri Light" w:hAnsi="Calibri Light"/>
              </w:rPr>
            </w:pPr>
            <w:r w:rsidRPr="004D6709">
              <w:rPr>
                <w:rFonts w:ascii="Calibri Light" w:hAnsi="Calibri Light"/>
              </w:rPr>
              <w:t xml:space="preserve">Minor terminology and grammatical adjustments made to further support understanding and implementation </w:t>
            </w:r>
          </w:p>
          <w:p w14:paraId="7FE08676" w14:textId="139C3DCD" w:rsidR="00954BF1" w:rsidRPr="00D4788B" w:rsidRDefault="004D6709" w:rsidP="004D6709">
            <w:pPr>
              <w:pStyle w:val="ListParagraph"/>
              <w:numPr>
                <w:ilvl w:val="0"/>
                <w:numId w:val="10"/>
              </w:numPr>
              <w:rPr>
                <w:rFonts w:asciiTheme="majorHAnsi" w:hAnsiTheme="majorHAnsi"/>
                <w:lang w:val="en-US"/>
              </w:rPr>
            </w:pPr>
            <w:r w:rsidRPr="00F53698">
              <w:rPr>
                <w:rFonts w:ascii="Calibri Light" w:hAnsi="Calibri Light"/>
              </w:rPr>
              <w:t>Included the list of related policies</w:t>
            </w:r>
          </w:p>
        </w:tc>
        <w:tc>
          <w:tcPr>
            <w:tcW w:w="2251" w:type="dxa"/>
            <w:gridSpan w:val="2"/>
            <w:vAlign w:val="center"/>
          </w:tcPr>
          <w:p w14:paraId="63934DEF" w14:textId="42E2EE62" w:rsidR="00954BF1" w:rsidRPr="009C4400" w:rsidRDefault="00D85812" w:rsidP="00A81408">
            <w:pPr>
              <w:jc w:val="center"/>
              <w:rPr>
                <w:rFonts w:ascii="Calibri Light" w:hAnsi="Calibri Light"/>
                <w:color w:val="000000" w:themeColor="text1"/>
                <w:sz w:val="24"/>
                <w:szCs w:val="24"/>
              </w:rPr>
            </w:pPr>
            <w:r>
              <w:rPr>
                <w:rFonts w:asciiTheme="majorHAnsi" w:hAnsiTheme="majorHAnsi"/>
                <w:sz w:val="24"/>
                <w:szCs w:val="24"/>
              </w:rPr>
              <w:t>April</w:t>
            </w:r>
            <w:r w:rsidR="00E5094F">
              <w:rPr>
                <w:rFonts w:asciiTheme="majorHAnsi" w:hAnsiTheme="majorHAnsi"/>
                <w:sz w:val="24"/>
                <w:szCs w:val="24"/>
              </w:rPr>
              <w:t xml:space="preserve"> 2019</w:t>
            </w:r>
          </w:p>
        </w:tc>
      </w:tr>
      <w:tr w:rsidR="002C4D32" w14:paraId="4A280993" w14:textId="77777777" w:rsidTr="002C4D32">
        <w:trPr>
          <w:trHeight w:val="745"/>
        </w:trPr>
        <w:tc>
          <w:tcPr>
            <w:tcW w:w="2235" w:type="dxa"/>
            <w:shd w:val="clear" w:color="auto" w:fill="F2F2F2" w:themeFill="background1" w:themeFillShade="F2"/>
            <w:vAlign w:val="center"/>
          </w:tcPr>
          <w:p w14:paraId="09EAB118" w14:textId="663ACC81" w:rsidR="002C4D32" w:rsidRDefault="002C4D32"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F2F2F2" w:themeFill="background1" w:themeFillShade="F2"/>
            <w:vAlign w:val="center"/>
          </w:tcPr>
          <w:p w14:paraId="0B98A27D" w14:textId="7BA4682F" w:rsidR="002C4D32" w:rsidRPr="002C4D32" w:rsidRDefault="004D6709" w:rsidP="002C4D32">
            <w:pPr>
              <w:pStyle w:val="ListParagraph"/>
              <w:numPr>
                <w:ilvl w:val="0"/>
                <w:numId w:val="28"/>
              </w:numPr>
              <w:rPr>
                <w:rFonts w:asciiTheme="majorHAnsi" w:hAnsiTheme="majorHAnsi"/>
              </w:rPr>
            </w:pPr>
            <w:r w:rsidRPr="00F53698">
              <w:rPr>
                <w:rFonts w:asciiTheme="majorHAnsi" w:hAnsiTheme="majorHAnsi"/>
              </w:rPr>
              <w:t>Updated the references to comply with the revised National Quality Standard</w:t>
            </w:r>
          </w:p>
        </w:tc>
        <w:tc>
          <w:tcPr>
            <w:tcW w:w="2251" w:type="dxa"/>
            <w:gridSpan w:val="2"/>
            <w:shd w:val="clear" w:color="auto" w:fill="F2F2F2" w:themeFill="background1" w:themeFillShade="F2"/>
            <w:vAlign w:val="center"/>
          </w:tcPr>
          <w:p w14:paraId="799E54CC" w14:textId="4EAB326D" w:rsidR="002C4D32" w:rsidRDefault="00D85812" w:rsidP="00A81408">
            <w:pPr>
              <w:jc w:val="center"/>
              <w:rPr>
                <w:rFonts w:asciiTheme="majorHAnsi" w:hAnsiTheme="majorHAnsi"/>
                <w:sz w:val="24"/>
                <w:szCs w:val="24"/>
              </w:rPr>
            </w:pPr>
            <w:r>
              <w:rPr>
                <w:rFonts w:asciiTheme="majorHAnsi" w:hAnsiTheme="majorHAnsi"/>
                <w:sz w:val="24"/>
                <w:szCs w:val="24"/>
              </w:rPr>
              <w:t xml:space="preserve">April </w:t>
            </w:r>
            <w:r w:rsidR="002C4D32">
              <w:rPr>
                <w:rFonts w:asciiTheme="majorHAnsi" w:hAnsiTheme="majorHAnsi"/>
                <w:sz w:val="24"/>
                <w:szCs w:val="24"/>
              </w:rPr>
              <w:t>2018</w:t>
            </w:r>
          </w:p>
        </w:tc>
      </w:tr>
      <w:tr w:rsidR="002C4D32" w14:paraId="0036B699" w14:textId="77777777" w:rsidTr="00D85812">
        <w:trPr>
          <w:trHeight w:val="524"/>
        </w:trPr>
        <w:tc>
          <w:tcPr>
            <w:tcW w:w="2235" w:type="dxa"/>
            <w:vAlign w:val="center"/>
          </w:tcPr>
          <w:p w14:paraId="18BB2753" w14:textId="3EBC4A60" w:rsidR="002C4D32" w:rsidRDefault="00D85812" w:rsidP="00A81408">
            <w:pPr>
              <w:jc w:val="center"/>
              <w:rPr>
                <w:rFonts w:ascii="Calibri Light" w:hAnsi="Calibri Light"/>
                <w:color w:val="000000" w:themeColor="text1"/>
                <w:sz w:val="24"/>
                <w:szCs w:val="24"/>
              </w:rPr>
            </w:pPr>
            <w:r>
              <w:rPr>
                <w:rFonts w:asciiTheme="majorHAnsi" w:hAnsiTheme="majorHAnsi"/>
                <w:sz w:val="24"/>
                <w:szCs w:val="24"/>
              </w:rPr>
              <w:t>April</w:t>
            </w:r>
            <w:r w:rsidR="002C4D32">
              <w:rPr>
                <w:rFonts w:ascii="Calibri Light" w:hAnsi="Calibri Light"/>
                <w:color w:val="000000" w:themeColor="text1"/>
                <w:sz w:val="24"/>
                <w:szCs w:val="24"/>
              </w:rPr>
              <w:t xml:space="preserve"> 2017</w:t>
            </w:r>
          </w:p>
        </w:tc>
        <w:tc>
          <w:tcPr>
            <w:tcW w:w="4500" w:type="dxa"/>
            <w:gridSpan w:val="2"/>
            <w:vAlign w:val="center"/>
          </w:tcPr>
          <w:p w14:paraId="5EE048EF" w14:textId="6834A29D" w:rsidR="002C4D32" w:rsidRPr="002C4D32" w:rsidRDefault="004D6709" w:rsidP="002C4D32">
            <w:pPr>
              <w:pStyle w:val="ListParagraph"/>
              <w:numPr>
                <w:ilvl w:val="0"/>
                <w:numId w:val="28"/>
              </w:numPr>
              <w:rPr>
                <w:rFonts w:asciiTheme="majorHAnsi" w:hAnsiTheme="majorHAnsi"/>
              </w:rPr>
            </w:pPr>
            <w:r w:rsidRPr="00F53698">
              <w:rPr>
                <w:rFonts w:ascii="Calibri Light" w:hAnsi="Calibri Light"/>
              </w:rPr>
              <w:t>Minor changes made to policy</w:t>
            </w:r>
          </w:p>
        </w:tc>
        <w:tc>
          <w:tcPr>
            <w:tcW w:w="2251" w:type="dxa"/>
            <w:gridSpan w:val="2"/>
            <w:vAlign w:val="center"/>
          </w:tcPr>
          <w:p w14:paraId="5D5AD1FD" w14:textId="78D4CB01" w:rsidR="002C4D32" w:rsidRDefault="00D85812" w:rsidP="00A81408">
            <w:pPr>
              <w:jc w:val="center"/>
              <w:rPr>
                <w:rFonts w:asciiTheme="majorHAnsi" w:hAnsiTheme="majorHAnsi"/>
                <w:sz w:val="24"/>
                <w:szCs w:val="24"/>
              </w:rPr>
            </w:pPr>
            <w:r>
              <w:rPr>
                <w:rFonts w:asciiTheme="majorHAnsi" w:hAnsiTheme="majorHAnsi"/>
                <w:sz w:val="24"/>
                <w:szCs w:val="24"/>
              </w:rPr>
              <w:t xml:space="preserve">April </w:t>
            </w:r>
            <w:r w:rsidR="002C4D32">
              <w:rPr>
                <w:rFonts w:asciiTheme="majorHAnsi" w:hAnsiTheme="majorHAnsi"/>
                <w:sz w:val="24"/>
                <w:szCs w:val="24"/>
              </w:rPr>
              <w:t>2018</w:t>
            </w:r>
          </w:p>
        </w:tc>
      </w:tr>
      <w:tr w:rsidR="001B7DF2" w14:paraId="2240EE2F" w14:textId="77777777" w:rsidTr="00D85812">
        <w:trPr>
          <w:trHeight w:val="524"/>
        </w:trPr>
        <w:tc>
          <w:tcPr>
            <w:tcW w:w="2235" w:type="dxa"/>
            <w:vAlign w:val="center"/>
          </w:tcPr>
          <w:p w14:paraId="196403E2" w14:textId="377D2396" w:rsidR="001B7DF2" w:rsidRDefault="001B7DF2" w:rsidP="00A81408">
            <w:pPr>
              <w:jc w:val="center"/>
              <w:rPr>
                <w:rFonts w:asciiTheme="majorHAnsi" w:hAnsiTheme="majorHAnsi"/>
                <w:sz w:val="24"/>
                <w:szCs w:val="24"/>
              </w:rPr>
            </w:pPr>
            <w:r>
              <w:rPr>
                <w:rFonts w:asciiTheme="majorHAnsi" w:hAnsiTheme="majorHAnsi"/>
                <w:sz w:val="24"/>
                <w:szCs w:val="24"/>
              </w:rPr>
              <w:t>November 2019</w:t>
            </w:r>
          </w:p>
        </w:tc>
        <w:tc>
          <w:tcPr>
            <w:tcW w:w="4500" w:type="dxa"/>
            <w:gridSpan w:val="2"/>
            <w:vAlign w:val="center"/>
          </w:tcPr>
          <w:p w14:paraId="75DA93FD" w14:textId="77777777" w:rsidR="001B7DF2" w:rsidRPr="00303E05" w:rsidRDefault="001B7DF2" w:rsidP="001B7DF2">
            <w:pPr>
              <w:pStyle w:val="ListParagraph"/>
              <w:numPr>
                <w:ilvl w:val="0"/>
                <w:numId w:val="28"/>
              </w:numPr>
              <w:rPr>
                <w:rFonts w:ascii="Calibri Light" w:hAnsi="Calibri Light"/>
              </w:rPr>
            </w:pPr>
            <w:r w:rsidRPr="00303E05">
              <w:rPr>
                <w:rFonts w:ascii="Calibri Light" w:hAnsi="Calibri Light"/>
              </w:rPr>
              <w:t>Added ‘Educators’ to “The Nominated Supervisor will”</w:t>
            </w:r>
          </w:p>
          <w:p w14:paraId="5D6C4E30" w14:textId="77777777" w:rsidR="001B7DF2" w:rsidRPr="00303E05" w:rsidRDefault="001B7DF2" w:rsidP="001B7DF2">
            <w:pPr>
              <w:pStyle w:val="ListParagraph"/>
              <w:numPr>
                <w:ilvl w:val="0"/>
                <w:numId w:val="28"/>
              </w:numPr>
              <w:rPr>
                <w:rFonts w:ascii="Calibri Light" w:hAnsi="Calibri Light"/>
              </w:rPr>
            </w:pPr>
            <w:r w:rsidRPr="00303E05">
              <w:rPr>
                <w:rFonts w:ascii="Calibri Light" w:hAnsi="Calibri Light"/>
              </w:rPr>
              <w:t>Points added (Highlighted).</w:t>
            </w:r>
          </w:p>
          <w:p w14:paraId="1F007C41" w14:textId="77777777" w:rsidR="001B7DF2" w:rsidRDefault="001B7DF2" w:rsidP="001B7DF2">
            <w:pPr>
              <w:pStyle w:val="ListParagraph"/>
              <w:numPr>
                <w:ilvl w:val="0"/>
                <w:numId w:val="28"/>
              </w:numPr>
              <w:rPr>
                <w:rFonts w:ascii="Calibri Light" w:hAnsi="Calibri Light"/>
              </w:rPr>
            </w:pPr>
            <w:r w:rsidRPr="00303E05">
              <w:rPr>
                <w:rFonts w:ascii="Calibri Light" w:hAnsi="Calibri Light"/>
              </w:rPr>
              <w:t xml:space="preserve">Sources checked for currency.  </w:t>
            </w:r>
          </w:p>
          <w:p w14:paraId="2CF5BB03" w14:textId="70AB83E8" w:rsidR="001B7DF2" w:rsidRPr="00F53698" w:rsidRDefault="001B7DF2" w:rsidP="001B7DF2">
            <w:pPr>
              <w:pStyle w:val="ListParagraph"/>
              <w:numPr>
                <w:ilvl w:val="0"/>
                <w:numId w:val="28"/>
              </w:numPr>
              <w:rPr>
                <w:rFonts w:ascii="Calibri Light" w:hAnsi="Calibri Light"/>
              </w:rPr>
            </w:pPr>
            <w:r w:rsidRPr="00303E05">
              <w:rPr>
                <w:rFonts w:ascii="Calibri Light" w:hAnsi="Calibri Light"/>
              </w:rPr>
              <w:t>Sources/references corrected, updated, and alphabetised.</w:t>
            </w:r>
          </w:p>
        </w:tc>
        <w:tc>
          <w:tcPr>
            <w:tcW w:w="2251" w:type="dxa"/>
            <w:gridSpan w:val="2"/>
            <w:vAlign w:val="center"/>
          </w:tcPr>
          <w:p w14:paraId="6A14279F" w14:textId="30E63077" w:rsidR="001B7DF2" w:rsidRDefault="001B7DF2" w:rsidP="00A81408">
            <w:pPr>
              <w:jc w:val="center"/>
              <w:rPr>
                <w:rFonts w:asciiTheme="majorHAnsi" w:hAnsiTheme="majorHAnsi"/>
                <w:sz w:val="24"/>
                <w:szCs w:val="24"/>
              </w:rPr>
            </w:pPr>
            <w:r>
              <w:rPr>
                <w:rFonts w:asciiTheme="majorHAnsi" w:hAnsiTheme="majorHAnsi"/>
                <w:sz w:val="24"/>
                <w:szCs w:val="24"/>
              </w:rPr>
              <w:t>November 2020</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0"/>
      <w:footerReference w:type="default" r:id="rId11"/>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2069" w14:textId="77777777" w:rsidR="004D6709" w:rsidRDefault="004D6709" w:rsidP="0021486F">
      <w:pPr>
        <w:spacing w:after="0" w:line="240" w:lineRule="auto"/>
      </w:pPr>
      <w:r>
        <w:separator/>
      </w:r>
    </w:p>
  </w:endnote>
  <w:endnote w:type="continuationSeparator" w:id="0">
    <w:p w14:paraId="5770E497" w14:textId="77777777" w:rsidR="004D6709" w:rsidRDefault="004D6709"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C6F1" w14:textId="4CBD3CA9" w:rsidR="004D6709" w:rsidRDefault="004D6709" w:rsidP="00F83C27">
    <w:pPr>
      <w:pStyle w:val="Footer"/>
      <w:spacing w:before="24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©201</w:t>
    </w:r>
    <w:r>
      <w:rPr>
        <w:rFonts w:ascii="Calibri Light" w:hAnsi="Calibri Light"/>
        <w:color w:val="22A1BB"/>
        <w:sz w:val="18"/>
        <w:szCs w:val="18"/>
      </w:rPr>
      <w:t>9</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CA7CA4">
      <w:rPr>
        <w:rFonts w:ascii="Calibri Light" w:hAnsi="Calibri Light"/>
        <w:sz w:val="18"/>
        <w:szCs w:val="18"/>
        <w:lang w:val="en-US"/>
      </w:rPr>
      <w:t>Family Communication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3417" w14:textId="77777777" w:rsidR="004D6709" w:rsidRDefault="004D6709" w:rsidP="0021486F">
      <w:pPr>
        <w:spacing w:after="0" w:line="240" w:lineRule="auto"/>
      </w:pPr>
      <w:r>
        <w:separator/>
      </w:r>
    </w:p>
  </w:footnote>
  <w:footnote w:type="continuationSeparator" w:id="0">
    <w:p w14:paraId="4C85D074" w14:textId="77777777" w:rsidR="004D6709" w:rsidRDefault="004D6709"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05E5" w14:textId="3953938A" w:rsidR="004D6709" w:rsidRDefault="004D6709">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4D6709" w:rsidRPr="004A79B2" w:rsidRDefault="004D6709"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" fillcolor="#22a1bb" stroked="f" strokeweight=".5pt">
              <v:textbox>
                <w:txbxContent>
                  <w:p w14:paraId="43E69882" w14:textId="77777777" w:rsidR="004D6709" w:rsidRPr="004A79B2" w:rsidRDefault="004D6709"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4D6709" w:rsidRPr="00865E0A" w:rsidRDefault="004D6709"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" fillcolor="#333c44" stroked="f">
              <v:textbox>
                <w:txbxContent>
                  <w:p w14:paraId="36787074" w14:textId="77777777" w:rsidR="004D6709" w:rsidRPr="00865E0A" w:rsidRDefault="004D6709"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5E1DFD8E" w:rsidR="004D6709" w:rsidRPr="004E7272" w:rsidRDefault="00115A28" w:rsidP="00A07751">
                          <w:pPr>
                            <w:rPr>
                              <w:rFonts w:ascii="Calibri Light" w:hAnsi="Calibri Light"/>
                              <w:color w:val="FFFFFF" w:themeColor="background1"/>
                            </w:rPr>
                          </w:pPr>
                          <w:r>
                            <w:rPr>
                              <w:rFonts w:ascii="Calibri Light" w:hAnsi="Calibri Light"/>
                              <w:color w:val="FFFFFF" w:themeColor="background1"/>
                            </w:rPr>
                            <w:t>Waratah All Year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" filled="f" stroked="f">
              <v:textbox>
                <w:txbxContent>
                  <w:p w14:paraId="32AB4840" w14:textId="5E1DFD8E" w:rsidR="004D6709" w:rsidRPr="004E7272" w:rsidRDefault="00115A28" w:rsidP="00A07751">
                    <w:pPr>
                      <w:rPr>
                        <w:rFonts w:ascii="Calibri Light" w:hAnsi="Calibri Light"/>
                        <w:color w:val="FFFFFF" w:themeColor="background1"/>
                      </w:rPr>
                    </w:pPr>
                    <w:r>
                      <w:rPr>
                        <w:rFonts w:ascii="Calibri Light" w:hAnsi="Calibri Light"/>
                        <w:color w:val="FFFFFF" w:themeColor="background1"/>
                      </w:rPr>
                      <w:t>Waratah All Year Care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9612317"/>
    <w:multiLevelType w:val="hybridMultilevel"/>
    <w:tmpl w:val="C4929D2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100730"/>
    <w:multiLevelType w:val="hybridMultilevel"/>
    <w:tmpl w:val="E1BC81C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640EE1"/>
    <w:multiLevelType w:val="hybridMultilevel"/>
    <w:tmpl w:val="1598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3026C"/>
    <w:multiLevelType w:val="hybridMultilevel"/>
    <w:tmpl w:val="42CE31E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FF313D"/>
    <w:multiLevelType w:val="hybridMultilevel"/>
    <w:tmpl w:val="4010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C35055"/>
    <w:multiLevelType w:val="hybridMultilevel"/>
    <w:tmpl w:val="160E99C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056678"/>
    <w:multiLevelType w:val="hybridMultilevel"/>
    <w:tmpl w:val="AF12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4F7508"/>
    <w:multiLevelType w:val="hybridMultilevel"/>
    <w:tmpl w:val="ECE83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0B6303"/>
    <w:multiLevelType w:val="hybridMultilevel"/>
    <w:tmpl w:val="AB10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6663BA"/>
    <w:multiLevelType w:val="hybridMultilevel"/>
    <w:tmpl w:val="5F00F5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BFA31A9"/>
    <w:multiLevelType w:val="hybridMultilevel"/>
    <w:tmpl w:val="C896BBA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1117FD"/>
    <w:multiLevelType w:val="hybridMultilevel"/>
    <w:tmpl w:val="02E09AD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0F2471"/>
    <w:multiLevelType w:val="hybridMultilevel"/>
    <w:tmpl w:val="8C06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FE34CA"/>
    <w:multiLevelType w:val="hybridMultilevel"/>
    <w:tmpl w:val="D368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3E6335"/>
    <w:multiLevelType w:val="hybridMultilevel"/>
    <w:tmpl w:val="4F62F1E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41"/>
  </w:num>
  <w:num w:numId="4">
    <w:abstractNumId w:val="38"/>
  </w:num>
  <w:num w:numId="5">
    <w:abstractNumId w:val="19"/>
  </w:num>
  <w:num w:numId="6">
    <w:abstractNumId w:val="7"/>
  </w:num>
  <w:num w:numId="7">
    <w:abstractNumId w:val="26"/>
  </w:num>
  <w:num w:numId="8">
    <w:abstractNumId w:val="5"/>
  </w:num>
  <w:num w:numId="9">
    <w:abstractNumId w:val="36"/>
  </w:num>
  <w:num w:numId="10">
    <w:abstractNumId w:val="4"/>
  </w:num>
  <w:num w:numId="11">
    <w:abstractNumId w:val="16"/>
  </w:num>
  <w:num w:numId="12">
    <w:abstractNumId w:val="0"/>
  </w:num>
  <w:num w:numId="13">
    <w:abstractNumId w:val="29"/>
  </w:num>
  <w:num w:numId="14">
    <w:abstractNumId w:val="10"/>
  </w:num>
  <w:num w:numId="15">
    <w:abstractNumId w:val="1"/>
  </w:num>
  <w:num w:numId="16">
    <w:abstractNumId w:val="20"/>
  </w:num>
  <w:num w:numId="17">
    <w:abstractNumId w:val="6"/>
  </w:num>
  <w:num w:numId="18">
    <w:abstractNumId w:val="8"/>
  </w:num>
  <w:num w:numId="19">
    <w:abstractNumId w:val="13"/>
  </w:num>
  <w:num w:numId="20">
    <w:abstractNumId w:val="3"/>
  </w:num>
  <w:num w:numId="21">
    <w:abstractNumId w:val="27"/>
  </w:num>
  <w:num w:numId="22">
    <w:abstractNumId w:val="24"/>
  </w:num>
  <w:num w:numId="23">
    <w:abstractNumId w:val="28"/>
  </w:num>
  <w:num w:numId="24">
    <w:abstractNumId w:val="31"/>
  </w:num>
  <w:num w:numId="25">
    <w:abstractNumId w:val="23"/>
  </w:num>
  <w:num w:numId="26">
    <w:abstractNumId w:val="2"/>
  </w:num>
  <w:num w:numId="27">
    <w:abstractNumId w:val="34"/>
  </w:num>
  <w:num w:numId="28">
    <w:abstractNumId w:val="17"/>
  </w:num>
  <w:num w:numId="29">
    <w:abstractNumId w:val="39"/>
  </w:num>
  <w:num w:numId="30">
    <w:abstractNumId w:val="22"/>
  </w:num>
  <w:num w:numId="31">
    <w:abstractNumId w:val="37"/>
  </w:num>
  <w:num w:numId="32">
    <w:abstractNumId w:val="12"/>
  </w:num>
  <w:num w:numId="33">
    <w:abstractNumId w:val="25"/>
  </w:num>
  <w:num w:numId="34">
    <w:abstractNumId w:val="35"/>
  </w:num>
  <w:num w:numId="35">
    <w:abstractNumId w:val="30"/>
  </w:num>
  <w:num w:numId="36">
    <w:abstractNumId w:val="11"/>
  </w:num>
  <w:num w:numId="37">
    <w:abstractNumId w:val="21"/>
  </w:num>
  <w:num w:numId="38">
    <w:abstractNumId w:val="14"/>
  </w:num>
  <w:num w:numId="39">
    <w:abstractNumId w:val="15"/>
  </w:num>
  <w:num w:numId="40">
    <w:abstractNumId w:val="33"/>
  </w:num>
  <w:num w:numId="41">
    <w:abstractNumId w:val="32"/>
  </w:num>
  <w:num w:numId="42">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34A58"/>
    <w:rsid w:val="0005762D"/>
    <w:rsid w:val="000B5720"/>
    <w:rsid w:val="001116BE"/>
    <w:rsid w:val="00115A28"/>
    <w:rsid w:val="0013625E"/>
    <w:rsid w:val="00136ABB"/>
    <w:rsid w:val="00151775"/>
    <w:rsid w:val="001B42D4"/>
    <w:rsid w:val="001B7DF2"/>
    <w:rsid w:val="001C66CA"/>
    <w:rsid w:val="001D1E2C"/>
    <w:rsid w:val="00201E0F"/>
    <w:rsid w:val="0021486F"/>
    <w:rsid w:val="00233657"/>
    <w:rsid w:val="00244E80"/>
    <w:rsid w:val="002C4D32"/>
    <w:rsid w:val="00303E05"/>
    <w:rsid w:val="0032241B"/>
    <w:rsid w:val="0032350F"/>
    <w:rsid w:val="00344B89"/>
    <w:rsid w:val="0036669C"/>
    <w:rsid w:val="00392FD5"/>
    <w:rsid w:val="003A4132"/>
    <w:rsid w:val="003A4C16"/>
    <w:rsid w:val="003C34A3"/>
    <w:rsid w:val="003D6AF9"/>
    <w:rsid w:val="003E4271"/>
    <w:rsid w:val="003F59E7"/>
    <w:rsid w:val="003F6504"/>
    <w:rsid w:val="004162A3"/>
    <w:rsid w:val="0042395E"/>
    <w:rsid w:val="0045799A"/>
    <w:rsid w:val="004A79B2"/>
    <w:rsid w:val="004B1ABE"/>
    <w:rsid w:val="004D6709"/>
    <w:rsid w:val="005504F7"/>
    <w:rsid w:val="005D148A"/>
    <w:rsid w:val="005D7F72"/>
    <w:rsid w:val="005F1D6D"/>
    <w:rsid w:val="005F6F48"/>
    <w:rsid w:val="006A01FF"/>
    <w:rsid w:val="00754AEB"/>
    <w:rsid w:val="007764EA"/>
    <w:rsid w:val="007E1EE6"/>
    <w:rsid w:val="008145AF"/>
    <w:rsid w:val="008E6DC8"/>
    <w:rsid w:val="008F4F94"/>
    <w:rsid w:val="009042A1"/>
    <w:rsid w:val="009059BD"/>
    <w:rsid w:val="00910CA0"/>
    <w:rsid w:val="0091665B"/>
    <w:rsid w:val="00954BF1"/>
    <w:rsid w:val="0097559D"/>
    <w:rsid w:val="009B6618"/>
    <w:rsid w:val="009C4400"/>
    <w:rsid w:val="009D4235"/>
    <w:rsid w:val="00A07751"/>
    <w:rsid w:val="00A26872"/>
    <w:rsid w:val="00A34AC1"/>
    <w:rsid w:val="00A81408"/>
    <w:rsid w:val="00A83DDA"/>
    <w:rsid w:val="00A97992"/>
    <w:rsid w:val="00AA21B4"/>
    <w:rsid w:val="00AB1AA1"/>
    <w:rsid w:val="00AF6C03"/>
    <w:rsid w:val="00B70EE2"/>
    <w:rsid w:val="00B72B18"/>
    <w:rsid w:val="00BD01D0"/>
    <w:rsid w:val="00BF758C"/>
    <w:rsid w:val="00CA7CA4"/>
    <w:rsid w:val="00CB4393"/>
    <w:rsid w:val="00CC440D"/>
    <w:rsid w:val="00CC447C"/>
    <w:rsid w:val="00D00F97"/>
    <w:rsid w:val="00D168BA"/>
    <w:rsid w:val="00D4010C"/>
    <w:rsid w:val="00D4338B"/>
    <w:rsid w:val="00D656E1"/>
    <w:rsid w:val="00D76176"/>
    <w:rsid w:val="00D85812"/>
    <w:rsid w:val="00DB2B22"/>
    <w:rsid w:val="00DC50C3"/>
    <w:rsid w:val="00E5094F"/>
    <w:rsid w:val="00EB0FC2"/>
    <w:rsid w:val="00EE597E"/>
    <w:rsid w:val="00F01B4D"/>
    <w:rsid w:val="00F235D4"/>
    <w:rsid w:val="00F34D49"/>
    <w:rsid w:val="00F5739C"/>
    <w:rsid w:val="00F8031C"/>
    <w:rsid w:val="00F83C27"/>
    <w:rsid w:val="00F852F9"/>
    <w:rsid w:val="00FA4F53"/>
    <w:rsid w:val="00FC28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35D38"/>
  <w15:docId w15:val="{6FFC3241-3F07-4F87-A7CF-A162630C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D85812"/>
    <w:pPr>
      <w:spacing w:after="0" w:line="240" w:lineRule="auto"/>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singchildren.net.au/for-professionals/working-with-parents/communicating-with-parents/communication-with-par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ildaustralia.org.au/wp-content/uploads/2017/02/A-Welcoming-Yarn-2016-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B828-AB04-4FCF-A409-01FE8977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leigh metcalf</cp:lastModifiedBy>
  <cp:revision>10</cp:revision>
  <cp:lastPrinted>2019-11-20T08:07:00Z</cp:lastPrinted>
  <dcterms:created xsi:type="dcterms:W3CDTF">2019-11-20T08:08:00Z</dcterms:created>
  <dcterms:modified xsi:type="dcterms:W3CDTF">2020-12-10T02:46:00Z</dcterms:modified>
</cp:coreProperties>
</file>