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3460" w14:textId="77777777" w:rsidR="0054504B" w:rsidRDefault="001F207F" w:rsidP="004A0D9D">
      <w:pPr>
        <w:jc w:val="center"/>
        <w:rPr>
          <w:sz w:val="52"/>
          <w:szCs w:val="52"/>
        </w:rPr>
      </w:pPr>
      <w:r>
        <w:rPr>
          <w:sz w:val="52"/>
          <w:szCs w:val="52"/>
        </w:rPr>
        <w:t>Allergy and Anaphylaxis</w:t>
      </w:r>
      <w:r w:rsidR="00C45646">
        <w:rPr>
          <w:sz w:val="52"/>
          <w:szCs w:val="52"/>
        </w:rPr>
        <w:t xml:space="preserve"> Policy</w:t>
      </w:r>
    </w:p>
    <w:p w14:paraId="7B4A3461" w14:textId="77777777" w:rsidR="005E3E86" w:rsidRPr="00404E95" w:rsidRDefault="005E3E86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t>POLICY</w:t>
      </w:r>
      <w:r w:rsidR="004C0709">
        <w:rPr>
          <w:b/>
          <w:sz w:val="28"/>
          <w:szCs w:val="28"/>
        </w:rPr>
        <w:t xml:space="preserve"> STATEMENT:</w:t>
      </w:r>
    </w:p>
    <w:p w14:paraId="7B4A3462" w14:textId="77777777" w:rsidR="0067399A" w:rsidRDefault="0067399A" w:rsidP="00562B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75DDD">
        <w:rPr>
          <w:sz w:val="28"/>
          <w:szCs w:val="28"/>
        </w:rPr>
        <w:t>Waratah All Year Care aims to provide and maintain a healthy environment at all times</w:t>
      </w:r>
      <w:r w:rsidR="001F207F">
        <w:rPr>
          <w:sz w:val="28"/>
          <w:szCs w:val="28"/>
        </w:rPr>
        <w:t xml:space="preserve">. To assist in this all staff will be made aware of children’s individual health requirements and allergies, and how to respond in the event of an </w:t>
      </w:r>
      <w:r w:rsidR="004C0709">
        <w:rPr>
          <w:sz w:val="28"/>
          <w:szCs w:val="28"/>
        </w:rPr>
        <w:t>emergency</w:t>
      </w:r>
      <w:r w:rsidR="0003716C">
        <w:rPr>
          <w:sz w:val="28"/>
          <w:szCs w:val="28"/>
        </w:rPr>
        <w:t>. We will support the families with anaphylaxis and allergy requirements with the centre providing inclusion and support in the daily activities and routines</w:t>
      </w:r>
    </w:p>
    <w:p w14:paraId="7B4A3463" w14:textId="77777777" w:rsidR="004C0709" w:rsidRDefault="004C0709" w:rsidP="00562BD7">
      <w:pPr>
        <w:spacing w:line="240" w:lineRule="auto"/>
        <w:rPr>
          <w:b/>
          <w:sz w:val="28"/>
          <w:szCs w:val="28"/>
        </w:rPr>
      </w:pPr>
    </w:p>
    <w:p w14:paraId="7B4A3464" w14:textId="77777777" w:rsidR="004C0709" w:rsidRDefault="004C0709" w:rsidP="00562B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CONSIDERATIONS:</w:t>
      </w:r>
    </w:p>
    <w:p w14:paraId="7B4A3465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Regulation 90   Medical Conditions Policy</w:t>
      </w:r>
    </w:p>
    <w:p w14:paraId="7B4A3466" w14:textId="605FE095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91   </w:t>
      </w:r>
      <w:r w:rsidR="00C40E1D">
        <w:rPr>
          <w:sz w:val="24"/>
          <w:szCs w:val="24"/>
        </w:rPr>
        <w:t>Medical Conditions Poli</w:t>
      </w:r>
      <w:r>
        <w:rPr>
          <w:sz w:val="24"/>
          <w:szCs w:val="24"/>
        </w:rPr>
        <w:t xml:space="preserve">cy to be provided to </w:t>
      </w:r>
      <w:r w:rsidR="008D678A" w:rsidRPr="008D678A">
        <w:rPr>
          <w:sz w:val="24"/>
          <w:szCs w:val="24"/>
        </w:rPr>
        <w:t>family members</w:t>
      </w:r>
    </w:p>
    <w:p w14:paraId="7B4A3467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Regulation 93   Administration of Medication</w:t>
      </w:r>
    </w:p>
    <w:p w14:paraId="7B4A3468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94  </w:t>
      </w:r>
      <w:r w:rsidR="00C40E1D">
        <w:rPr>
          <w:sz w:val="24"/>
          <w:szCs w:val="24"/>
        </w:rPr>
        <w:t xml:space="preserve"> Exception to authorisation requirement – </w:t>
      </w:r>
      <w:r>
        <w:rPr>
          <w:sz w:val="24"/>
          <w:szCs w:val="24"/>
        </w:rPr>
        <w:t>Anaphylaxis or Asthma emergency</w:t>
      </w:r>
    </w:p>
    <w:p w14:paraId="7B4A3469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95  </w:t>
      </w:r>
      <w:r w:rsidR="00C40E1D">
        <w:rPr>
          <w:sz w:val="24"/>
          <w:szCs w:val="24"/>
        </w:rPr>
        <w:t xml:space="preserve"> Procedure f</w:t>
      </w:r>
      <w:r>
        <w:rPr>
          <w:sz w:val="24"/>
          <w:szCs w:val="24"/>
        </w:rPr>
        <w:t>or administration of medication</w:t>
      </w:r>
    </w:p>
    <w:p w14:paraId="7B4A346A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96   </w:t>
      </w:r>
      <w:r w:rsidR="00C40E1D">
        <w:rPr>
          <w:sz w:val="24"/>
          <w:szCs w:val="24"/>
        </w:rPr>
        <w:t>self administr</w:t>
      </w:r>
      <w:r>
        <w:rPr>
          <w:sz w:val="24"/>
          <w:szCs w:val="24"/>
        </w:rPr>
        <w:t>ation of medication</w:t>
      </w:r>
    </w:p>
    <w:p w14:paraId="7B4A346B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162 </w:t>
      </w:r>
      <w:r w:rsidR="00C40E1D">
        <w:rPr>
          <w:sz w:val="24"/>
          <w:szCs w:val="24"/>
        </w:rPr>
        <w:t xml:space="preserve"> Health information to be kept in Enrolment record</w:t>
      </w:r>
    </w:p>
    <w:p w14:paraId="7B4A346C" w14:textId="77777777" w:rsidR="00C40E1D" w:rsidRDefault="0003716C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168 (2)(d)  </w:t>
      </w:r>
      <w:r w:rsidR="00C40E1D">
        <w:rPr>
          <w:sz w:val="24"/>
          <w:szCs w:val="24"/>
        </w:rPr>
        <w:t xml:space="preserve"> Policies and procedures are required in relation to </w:t>
      </w:r>
      <w:r w:rsidR="00153867">
        <w:rPr>
          <w:sz w:val="24"/>
          <w:szCs w:val="24"/>
        </w:rPr>
        <w:t xml:space="preserve">                             </w:t>
      </w:r>
      <w:r w:rsidR="00C40E1D">
        <w:rPr>
          <w:sz w:val="24"/>
          <w:szCs w:val="24"/>
        </w:rPr>
        <w:t>dealing with medical conditions in children, including the matt</w:t>
      </w:r>
      <w:r>
        <w:rPr>
          <w:sz w:val="24"/>
          <w:szCs w:val="24"/>
        </w:rPr>
        <w:t>ers set out in regulation 90</w:t>
      </w:r>
    </w:p>
    <w:p w14:paraId="7B4A346D" w14:textId="77777777" w:rsidR="00C40E1D" w:rsidRDefault="00C40E1D" w:rsidP="00C40E1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National Standard 2</w:t>
      </w:r>
    </w:p>
    <w:p w14:paraId="7B4A346E" w14:textId="77777777" w:rsidR="00C40E1D" w:rsidRDefault="00C40E1D" w:rsidP="00C40E1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Element 2.1.1</w:t>
      </w:r>
      <w:r>
        <w:rPr>
          <w:sz w:val="24"/>
          <w:szCs w:val="24"/>
        </w:rPr>
        <w:tab/>
        <w:t>Each child’s health needs are supported</w:t>
      </w:r>
    </w:p>
    <w:p w14:paraId="7B4A346F" w14:textId="77777777" w:rsidR="00C40E1D" w:rsidRDefault="00C40E1D" w:rsidP="00C40E1D">
      <w:pPr>
        <w:pStyle w:val="ListParagraph"/>
        <w:spacing w:line="240" w:lineRule="auto"/>
        <w:ind w:left="2880" w:hanging="585"/>
        <w:rPr>
          <w:sz w:val="24"/>
          <w:szCs w:val="24"/>
        </w:rPr>
      </w:pPr>
      <w:r>
        <w:rPr>
          <w:sz w:val="24"/>
          <w:szCs w:val="24"/>
        </w:rPr>
        <w:t>2.3.2</w:t>
      </w:r>
      <w:r>
        <w:rPr>
          <w:sz w:val="24"/>
          <w:szCs w:val="24"/>
        </w:rPr>
        <w:tab/>
        <w:t>Every reasonable precaution is taken to protect children from harm and any hazard likely to cause injury</w:t>
      </w:r>
    </w:p>
    <w:p w14:paraId="7B4A3470" w14:textId="77777777" w:rsidR="00C40E1D" w:rsidRPr="00C40E1D" w:rsidRDefault="00C40E1D" w:rsidP="00C40E1D">
      <w:pPr>
        <w:pStyle w:val="ListParagraph"/>
        <w:spacing w:line="240" w:lineRule="auto"/>
        <w:ind w:left="2880" w:hanging="645"/>
        <w:rPr>
          <w:sz w:val="24"/>
          <w:szCs w:val="24"/>
        </w:rPr>
      </w:pPr>
      <w:r>
        <w:rPr>
          <w:sz w:val="24"/>
          <w:szCs w:val="24"/>
        </w:rPr>
        <w:t xml:space="preserve">2.3.3 </w:t>
      </w:r>
      <w:r>
        <w:rPr>
          <w:sz w:val="24"/>
          <w:szCs w:val="24"/>
        </w:rPr>
        <w:tab/>
        <w:t>Plans to effectively manage incidents and emergencies are developed in consultation with relevant authorities, practised and implemented</w:t>
      </w:r>
    </w:p>
    <w:p w14:paraId="7B4A3471" w14:textId="77777777" w:rsidR="004C0709" w:rsidRPr="004C0709" w:rsidRDefault="004C0709" w:rsidP="00562BD7">
      <w:pPr>
        <w:spacing w:line="240" w:lineRule="auto"/>
        <w:rPr>
          <w:sz w:val="24"/>
          <w:szCs w:val="24"/>
        </w:rPr>
      </w:pPr>
    </w:p>
    <w:p w14:paraId="7B4A3472" w14:textId="77777777" w:rsidR="004C0709" w:rsidRDefault="004C0709" w:rsidP="0067399A">
      <w:pPr>
        <w:spacing w:line="240" w:lineRule="auto"/>
        <w:rPr>
          <w:b/>
          <w:sz w:val="28"/>
          <w:szCs w:val="28"/>
        </w:rPr>
      </w:pPr>
    </w:p>
    <w:p w14:paraId="7B4A3473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4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5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6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7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8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9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A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B" w14:textId="77777777" w:rsidR="00153867" w:rsidRDefault="00153867" w:rsidP="0067399A">
      <w:pPr>
        <w:spacing w:line="240" w:lineRule="auto"/>
        <w:rPr>
          <w:b/>
          <w:sz w:val="28"/>
          <w:szCs w:val="28"/>
        </w:rPr>
      </w:pPr>
    </w:p>
    <w:p w14:paraId="7B4A347C" w14:textId="77777777" w:rsidR="0067399A" w:rsidRPr="00404E95" w:rsidRDefault="0067399A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t>PROCEDURE</w:t>
      </w:r>
      <w:r w:rsidR="004C0709">
        <w:rPr>
          <w:b/>
          <w:sz w:val="28"/>
          <w:szCs w:val="28"/>
        </w:rPr>
        <w:t>:</w:t>
      </w:r>
    </w:p>
    <w:p w14:paraId="7B4A347D" w14:textId="17060054" w:rsidR="00404709" w:rsidRDefault="001F207F" w:rsidP="001F207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Ensure the most current information provided by </w:t>
      </w:r>
      <w:r w:rsidR="008D678A">
        <w:rPr>
          <w:sz w:val="28"/>
          <w:szCs w:val="28"/>
        </w:rPr>
        <w:t>family members</w:t>
      </w:r>
      <w:r>
        <w:rPr>
          <w:sz w:val="28"/>
          <w:szCs w:val="28"/>
        </w:rPr>
        <w:t xml:space="preserve"> is available to staff</w:t>
      </w:r>
    </w:p>
    <w:p w14:paraId="7B4A347E" w14:textId="068A5662" w:rsidR="001F207F" w:rsidRDefault="001F207F" w:rsidP="001F207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Ensure all staff have access to the ‘action plan’ provided by </w:t>
      </w:r>
      <w:r w:rsidR="008D678A">
        <w:rPr>
          <w:sz w:val="28"/>
          <w:szCs w:val="28"/>
        </w:rPr>
        <w:t>family members</w:t>
      </w:r>
      <w:r>
        <w:rPr>
          <w:sz w:val="28"/>
          <w:szCs w:val="28"/>
        </w:rPr>
        <w:t>, and are aware of any special arrangements that are required to assist with the safety of the child while at the centre</w:t>
      </w:r>
    </w:p>
    <w:p w14:paraId="7B4A347F" w14:textId="77777777" w:rsidR="001F207F" w:rsidRDefault="001F207F" w:rsidP="001F207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Ensure all staff are trained in administering Epi Pens and the causes and symptoms of Anaphylaxis</w:t>
      </w:r>
    </w:p>
    <w:p w14:paraId="7B4A3480" w14:textId="77777777" w:rsidR="001F207F" w:rsidRDefault="001F207F" w:rsidP="001F207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When leaving the centre with the child, ensure the child’s Epi-Pen is always taken</w:t>
      </w:r>
    </w:p>
    <w:p w14:paraId="7B4A3481" w14:textId="77777777" w:rsidR="001F207F" w:rsidRDefault="001F207F" w:rsidP="001F207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centre will not supply any food that may put that child at risk</w:t>
      </w:r>
    </w:p>
    <w:p w14:paraId="7B4A3482" w14:textId="77777777" w:rsidR="001F207F" w:rsidRDefault="001F207F" w:rsidP="001F207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SYMPTOMS</w:t>
      </w: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827"/>
        <w:gridCol w:w="4456"/>
      </w:tblGrid>
      <w:tr w:rsidR="004C0709" w14:paraId="7B4A3494" w14:textId="77777777" w:rsidTr="004C0709">
        <w:tc>
          <w:tcPr>
            <w:tcW w:w="3827" w:type="dxa"/>
          </w:tcPr>
          <w:p w14:paraId="7B4A3483" w14:textId="77777777" w:rsidR="004C0709" w:rsidRPr="004C0709" w:rsidRDefault="004C0709" w:rsidP="004C0709">
            <w:p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Mild to Moderate Allergic Reactions</w:t>
            </w:r>
          </w:p>
          <w:p w14:paraId="7B4A3484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Itchiness to palms or soles</w:t>
            </w:r>
          </w:p>
          <w:p w14:paraId="7B4A3485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Faintness</w:t>
            </w:r>
          </w:p>
          <w:p w14:paraId="7B4A3486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Tingling of the mouth</w:t>
            </w:r>
          </w:p>
          <w:p w14:paraId="7B4A3487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Hives, welts or body redness</w:t>
            </w:r>
          </w:p>
          <w:p w14:paraId="7B4A3488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Swelling of the face, lips and eyes</w:t>
            </w:r>
          </w:p>
          <w:p w14:paraId="7B4A3489" w14:textId="77777777" w:rsidR="004C0709" w:rsidRPr="004C0709" w:rsidRDefault="004C0709" w:rsidP="004C07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Vomiting, abdominal pain</w:t>
            </w:r>
          </w:p>
          <w:p w14:paraId="7B4A348A" w14:textId="77777777" w:rsidR="004C0709" w:rsidRDefault="004C0709" w:rsidP="001F207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14:paraId="7B4A348B" w14:textId="77777777" w:rsidR="004C0709" w:rsidRDefault="004C0709" w:rsidP="004C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Severe Allergic Reaction – Anaphylaxis</w:t>
            </w:r>
          </w:p>
          <w:p w14:paraId="7B4A348C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Difficulty and / or noisy breathing</w:t>
            </w:r>
          </w:p>
          <w:p w14:paraId="7B4A348D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Swelling of the tongue</w:t>
            </w:r>
          </w:p>
          <w:p w14:paraId="7B4A348E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Swelling or tightness of the throat</w:t>
            </w:r>
          </w:p>
          <w:p w14:paraId="7B4A348F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Difficulty talking or hoarse throat</w:t>
            </w:r>
          </w:p>
          <w:p w14:paraId="7B4A3490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Wheeze or persistent cough</w:t>
            </w:r>
          </w:p>
          <w:p w14:paraId="7B4A3491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Loss of consciousness and / or collapse</w:t>
            </w:r>
          </w:p>
          <w:p w14:paraId="7B4A3492" w14:textId="77777777" w:rsidR="004C0709" w:rsidRPr="004C0709" w:rsidRDefault="004C0709" w:rsidP="004C07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0709">
              <w:rPr>
                <w:sz w:val="28"/>
                <w:szCs w:val="28"/>
              </w:rPr>
              <w:t>Pale and floppy (young children)</w:t>
            </w:r>
          </w:p>
          <w:p w14:paraId="7B4A3493" w14:textId="77777777" w:rsidR="004C0709" w:rsidRDefault="004C0709" w:rsidP="001F207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7B4A3495" w14:textId="77777777" w:rsidR="005E3E86" w:rsidRDefault="00EE0762" w:rsidP="006739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Source: </w:t>
      </w:r>
      <w:hyperlink r:id="rId5" w:history="1">
        <w:r w:rsidRPr="009C433E">
          <w:rPr>
            <w:rStyle w:val="Hyperlink"/>
            <w:sz w:val="28"/>
            <w:szCs w:val="28"/>
          </w:rPr>
          <w:t>www.allergyfacts.org.au</w:t>
        </w:r>
      </w:hyperlink>
      <w:r>
        <w:rPr>
          <w:sz w:val="28"/>
          <w:szCs w:val="28"/>
        </w:rPr>
        <w:t xml:space="preserve"> </w:t>
      </w:r>
    </w:p>
    <w:p w14:paraId="7B4A3496" w14:textId="77777777" w:rsidR="00153867" w:rsidRDefault="00153867" w:rsidP="0067399A">
      <w:pPr>
        <w:spacing w:line="240" w:lineRule="auto"/>
        <w:rPr>
          <w:sz w:val="28"/>
          <w:szCs w:val="28"/>
        </w:rPr>
      </w:pPr>
    </w:p>
    <w:p w14:paraId="7B4A3497" w14:textId="77777777" w:rsidR="00153867" w:rsidRDefault="00153867" w:rsidP="0067399A">
      <w:pPr>
        <w:spacing w:line="240" w:lineRule="auto"/>
        <w:rPr>
          <w:sz w:val="28"/>
          <w:szCs w:val="28"/>
        </w:rPr>
      </w:pPr>
    </w:p>
    <w:p w14:paraId="7B4A3498" w14:textId="77777777" w:rsidR="00153867" w:rsidRDefault="00153867" w:rsidP="0067399A">
      <w:pPr>
        <w:spacing w:line="240" w:lineRule="auto"/>
        <w:rPr>
          <w:sz w:val="28"/>
          <w:szCs w:val="28"/>
        </w:rPr>
      </w:pPr>
    </w:p>
    <w:p w14:paraId="7B4A3499" w14:textId="35059DB3" w:rsidR="00153867" w:rsidRDefault="00BF4D8A" w:rsidP="006739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ENDORSED   March 201</w:t>
      </w:r>
      <w:r w:rsidR="008D678A">
        <w:rPr>
          <w:b/>
          <w:sz w:val="28"/>
          <w:szCs w:val="28"/>
        </w:rPr>
        <w:t>5</w:t>
      </w:r>
    </w:p>
    <w:p w14:paraId="7B4A349A" w14:textId="0457E1F0" w:rsidR="0003716C" w:rsidRPr="0003716C" w:rsidRDefault="00BF4D8A" w:rsidP="006739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TO BE REVEIWED   March 201</w:t>
      </w:r>
      <w:r w:rsidR="00EB2B4C">
        <w:rPr>
          <w:b/>
          <w:sz w:val="28"/>
          <w:szCs w:val="28"/>
        </w:rPr>
        <w:t>8</w:t>
      </w:r>
      <w:bookmarkStart w:id="0" w:name="_GoBack"/>
      <w:bookmarkEnd w:id="0"/>
    </w:p>
    <w:p w14:paraId="7B4A349B" w14:textId="77777777" w:rsidR="00153867" w:rsidRDefault="00153867" w:rsidP="0067399A">
      <w:pPr>
        <w:spacing w:line="240" w:lineRule="auto"/>
        <w:rPr>
          <w:sz w:val="28"/>
          <w:szCs w:val="28"/>
        </w:rPr>
      </w:pPr>
    </w:p>
    <w:p w14:paraId="7B4A349C" w14:textId="77777777" w:rsidR="004C0709" w:rsidRDefault="004C0709" w:rsidP="0067399A">
      <w:pPr>
        <w:spacing w:line="240" w:lineRule="auto"/>
        <w:rPr>
          <w:sz w:val="28"/>
          <w:szCs w:val="28"/>
        </w:rPr>
      </w:pPr>
    </w:p>
    <w:p w14:paraId="7814818F" w14:textId="62506460" w:rsidR="007E3883" w:rsidRDefault="007E3883" w:rsidP="0067399A">
      <w:pPr>
        <w:spacing w:line="240" w:lineRule="auto"/>
        <w:rPr>
          <w:sz w:val="28"/>
          <w:szCs w:val="28"/>
        </w:rPr>
      </w:pPr>
    </w:p>
    <w:p w14:paraId="324F7E43" w14:textId="77777777" w:rsidR="007E3883" w:rsidRDefault="007E3883" w:rsidP="007E3883">
      <w:pPr>
        <w:spacing w:line="240" w:lineRule="auto"/>
        <w:jc w:val="center"/>
        <w:rPr>
          <w:sz w:val="28"/>
          <w:szCs w:val="28"/>
        </w:rPr>
        <w:sectPr w:rsidR="007E3883" w:rsidSect="00404E95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198"/>
        <w:gridCol w:w="2764"/>
        <w:gridCol w:w="6379"/>
        <w:gridCol w:w="2881"/>
        <w:gridCol w:w="1710"/>
      </w:tblGrid>
      <w:tr w:rsidR="007E3883" w14:paraId="1E3556CB" w14:textId="77777777" w:rsidTr="00816B8B">
        <w:trPr>
          <w:trHeight w:val="607"/>
        </w:trPr>
        <w:tc>
          <w:tcPr>
            <w:tcW w:w="1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E2F749" w14:textId="77777777" w:rsidR="007E3883" w:rsidRDefault="007E3883" w:rsidP="00816B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RISK ASSESSMENT </w:t>
            </w:r>
          </w:p>
        </w:tc>
      </w:tr>
      <w:tr w:rsidR="007E3883" w14:paraId="3C683325" w14:textId="77777777" w:rsidTr="00816B8B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C78" w14:textId="77777777" w:rsidR="007E3883" w:rsidRDefault="007E3883" w:rsidP="00816B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 / HAZARD IDENTIFIED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691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ASSESSMENT </w:t>
            </w:r>
          </w:p>
          <w:p w14:paraId="38313C9A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Before elimination/ control measures </w:t>
            </w:r>
          </w:p>
          <w:p w14:paraId="53EEB510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(USE MATRIX)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DD8" w14:textId="77777777" w:rsidR="007E3883" w:rsidRDefault="007E3883" w:rsidP="00816B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ELIMINATION / CONTROL MEASURES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194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ASSESSMENT </w:t>
            </w:r>
          </w:p>
          <w:p w14:paraId="37DF27C1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After elimination/ control measures </w:t>
            </w:r>
          </w:p>
          <w:p w14:paraId="0704DA8D" w14:textId="77777777" w:rsidR="007E3883" w:rsidRDefault="007E3883" w:rsidP="00816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(USE MATRIX)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18FB" w14:textId="77777777" w:rsidR="007E3883" w:rsidRDefault="007E3883" w:rsidP="00816B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AND WHEN</w:t>
            </w:r>
          </w:p>
        </w:tc>
      </w:tr>
      <w:tr w:rsidR="007E3883" w14:paraId="5FC7C853" w14:textId="77777777" w:rsidTr="00816B8B">
        <w:trPr>
          <w:trHeight w:val="34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3BE" w14:textId="6A5DECCB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not diagnosed as Anaphylactic </w:t>
            </w:r>
            <w:r w:rsidR="00606145">
              <w:rPr>
                <w:sz w:val="24"/>
                <w:szCs w:val="24"/>
              </w:rPr>
              <w:t>or with Allergies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693" w14:textId="401C6705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295" w14:textId="77777777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 will be trained via an approved Anaphylactic course for the symptoms and use of an Epi Pen </w:t>
            </w:r>
          </w:p>
          <w:p w14:paraId="1454A2C4" w14:textId="77777777" w:rsidR="007E3883" w:rsidRDefault="007E3883" w:rsidP="00816B8B">
            <w:pPr>
              <w:rPr>
                <w:sz w:val="24"/>
                <w:szCs w:val="24"/>
              </w:rPr>
            </w:pPr>
          </w:p>
          <w:p w14:paraId="36B532BE" w14:textId="77777777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staff member spots a child in difficulty with symptoms of anaphylaxis they are to request assistance at one to retrieve the epi pen, emergency services will be contacted.</w:t>
            </w:r>
          </w:p>
          <w:p w14:paraId="217A13C1" w14:textId="77777777" w:rsidR="007E3883" w:rsidRDefault="007E3883" w:rsidP="00816B8B">
            <w:pPr>
              <w:rPr>
                <w:sz w:val="24"/>
                <w:szCs w:val="24"/>
              </w:rPr>
            </w:pPr>
          </w:p>
          <w:p w14:paraId="030DC5D5" w14:textId="69E41405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situation worsens the Epi pen will be administered, the child will be monitored and cared for, </w:t>
            </w:r>
            <w:r w:rsidR="008D678A" w:rsidRPr="008D678A">
              <w:rPr>
                <w:sz w:val="24"/>
                <w:szCs w:val="24"/>
              </w:rPr>
              <w:t>family member</w:t>
            </w:r>
            <w:r w:rsidR="008D678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emergency services will be contacted </w:t>
            </w:r>
          </w:p>
          <w:p w14:paraId="426B334D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284A11DF" w14:textId="259BF049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Ecru will be notified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1E4" w14:textId="4111AE9C" w:rsidR="007E3883" w:rsidRDefault="007E3883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D1C" w14:textId="77777777" w:rsidR="007E3883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07544F5B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487503EA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4C240824" w14:textId="77777777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0078F413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3B381DDF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72DECADA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5664456A" w14:textId="6C3331E3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 Supervisor / person in charge</w:t>
            </w:r>
          </w:p>
        </w:tc>
      </w:tr>
      <w:tr w:rsidR="007E3883" w14:paraId="26183B03" w14:textId="77777777" w:rsidTr="00816B8B">
        <w:trPr>
          <w:trHeight w:val="34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9AC" w14:textId="3072FE1D" w:rsidR="007E3883" w:rsidRDefault="00606145" w:rsidP="0060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diagnosed with Anaphylactic and / or Allergies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615" w14:textId="468B5F46" w:rsidR="007E3883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033" w14:textId="77777777" w:rsidR="007E3883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 will be on our Allergy awareness board in the kitchen</w:t>
            </w:r>
          </w:p>
          <w:p w14:paraId="6190F648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1208AB01" w14:textId="77777777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 will be informed about the child’s condition as soon as practicable </w:t>
            </w:r>
          </w:p>
          <w:p w14:paraId="7B829D1E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299965A3" w14:textId="68B52FE8" w:rsidR="00606145" w:rsidRDefault="008D678A" w:rsidP="00816B8B">
            <w:pPr>
              <w:rPr>
                <w:sz w:val="24"/>
                <w:szCs w:val="24"/>
              </w:rPr>
            </w:pPr>
            <w:r w:rsidRPr="008D678A">
              <w:rPr>
                <w:sz w:val="24"/>
                <w:szCs w:val="24"/>
              </w:rPr>
              <w:t>family members</w:t>
            </w:r>
            <w:r w:rsidR="00606145">
              <w:rPr>
                <w:sz w:val="24"/>
                <w:szCs w:val="24"/>
              </w:rPr>
              <w:t xml:space="preserve"> will be asked to disclose this information on enrolment and keep the centre updated with any changes to the child’s condition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9AA" w14:textId="653558C5" w:rsidR="007E3883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C2" w14:textId="77777777" w:rsidR="007E3883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1C4FD85F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3E2C7A6C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4B6146C4" w14:textId="77777777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  <w:p w14:paraId="7B24FD6B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551AF42C" w14:textId="77777777" w:rsidR="00606145" w:rsidRDefault="00606145" w:rsidP="00816B8B">
            <w:pPr>
              <w:rPr>
                <w:sz w:val="24"/>
                <w:szCs w:val="24"/>
              </w:rPr>
            </w:pPr>
          </w:p>
          <w:p w14:paraId="41FD1B97" w14:textId="06161108" w:rsidR="00606145" w:rsidRDefault="00606145" w:rsidP="0081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</w:tr>
    </w:tbl>
    <w:p w14:paraId="19F238A7" w14:textId="77777777" w:rsidR="007E3883" w:rsidRDefault="007E3883" w:rsidP="007E3883">
      <w:pPr>
        <w:spacing w:line="240" w:lineRule="auto"/>
        <w:rPr>
          <w:sz w:val="28"/>
          <w:szCs w:val="28"/>
        </w:rPr>
      </w:pPr>
    </w:p>
    <w:p w14:paraId="7C742A44" w14:textId="77777777" w:rsidR="007E3883" w:rsidRDefault="007E3883" w:rsidP="007E3883">
      <w:pPr>
        <w:spacing w:line="240" w:lineRule="auto"/>
        <w:rPr>
          <w:sz w:val="28"/>
          <w:szCs w:val="28"/>
        </w:rPr>
      </w:pPr>
    </w:p>
    <w:p w14:paraId="0F867D79" w14:textId="77777777" w:rsidR="007E3883" w:rsidRDefault="007E3883" w:rsidP="007E3883">
      <w:pPr>
        <w:spacing w:line="240" w:lineRule="auto"/>
        <w:rPr>
          <w:sz w:val="28"/>
          <w:szCs w:val="28"/>
        </w:rPr>
      </w:pPr>
    </w:p>
    <w:p w14:paraId="35884DB8" w14:textId="77777777" w:rsidR="007E3883" w:rsidRDefault="007E3883" w:rsidP="007E3883">
      <w:pPr>
        <w:spacing w:line="240" w:lineRule="auto"/>
        <w:rPr>
          <w:sz w:val="28"/>
          <w:szCs w:val="28"/>
        </w:rPr>
      </w:pP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735"/>
        <w:gridCol w:w="2665"/>
        <w:gridCol w:w="2130"/>
        <w:gridCol w:w="2398"/>
        <w:gridCol w:w="2398"/>
        <w:gridCol w:w="2662"/>
        <w:gridCol w:w="2932"/>
      </w:tblGrid>
      <w:tr w:rsidR="00CA7BB0" w14:paraId="321B77D5" w14:textId="77777777" w:rsidTr="00CA7BB0">
        <w:trPr>
          <w:gridAfter w:val="3"/>
          <w:wAfter w:w="2510" w:type="pct"/>
          <w:trHeight w:val="206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14:paraId="6C952E3B" w14:textId="77777777" w:rsidR="00CA7BB0" w:rsidRDefault="00CA7BB0" w:rsidP="00CA7B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lastRenderedPageBreak/>
              <w:t>Risk Matrix</w:t>
            </w:r>
          </w:p>
        </w:tc>
      </w:tr>
      <w:tr w:rsidR="00CA7BB0" w14:paraId="10968828" w14:textId="77777777" w:rsidTr="00CA7BB0">
        <w:trPr>
          <w:trHeight w:val="282"/>
        </w:trPr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FD85" w14:textId="77777777" w:rsidR="00CA7BB0" w:rsidRDefault="00CA7BB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Note:</w:t>
            </w:r>
          </w:p>
          <w:p w14:paraId="069ABAAD" w14:textId="77777777" w:rsidR="00CA7BB0" w:rsidRDefault="00CA7BB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 xml:space="preserve">Risk matrix does not fit all situations. </w:t>
            </w:r>
          </w:p>
          <w:p w14:paraId="78F82CC7" w14:textId="77777777" w:rsidR="00CA7BB0" w:rsidRDefault="00CA7BB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If in doubt, please contact</w:t>
            </w:r>
          </w:p>
          <w:p w14:paraId="63DAB564" w14:textId="77777777" w:rsidR="00CA7BB0" w:rsidRDefault="00CA7BB0">
            <w:pPr>
              <w:jc w:val="center"/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Leigh Metcalf 0414 535 685.</w:t>
            </w:r>
          </w:p>
        </w:tc>
        <w:tc>
          <w:tcPr>
            <w:tcW w:w="3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B22" w14:textId="77777777" w:rsidR="00CA7BB0" w:rsidRDefault="00CA7BB0">
            <w:pPr>
              <w:jc w:val="center"/>
              <w:rPr>
                <w:rFonts w:ascii="Arial" w:hAnsi="Arial" w:cs="Arial"/>
                <w:b/>
                <w:sz w:val="8"/>
                <w:szCs w:val="16"/>
                <w:lang w:eastAsia="en-AU"/>
              </w:rPr>
            </w:pPr>
          </w:p>
          <w:p w14:paraId="04B0E038" w14:textId="77777777" w:rsidR="00CA7BB0" w:rsidRDefault="00CA7BB0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eastAsia="en-AU"/>
              </w:rPr>
              <w:t>CONSEQUENCES</w:t>
            </w:r>
          </w:p>
        </w:tc>
      </w:tr>
      <w:tr w:rsidR="00CA7BB0" w14:paraId="3ED39457" w14:textId="77777777" w:rsidTr="00CA7BB0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28C4" w14:textId="77777777" w:rsidR="00CA7BB0" w:rsidRDefault="00CA7BB0">
            <w:pPr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D6EC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MINIMAL</w:t>
            </w:r>
          </w:p>
          <w:p w14:paraId="1FCBEEFB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No Injury</w:t>
            </w:r>
          </w:p>
          <w:p w14:paraId="6D9BE574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Minor impact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7DEB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MINOR</w:t>
            </w:r>
          </w:p>
          <w:p w14:paraId="76F14DB3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First Aid</w:t>
            </w:r>
          </w:p>
          <w:p w14:paraId="223EC81C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no adverse effects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AC38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MODERATE</w:t>
            </w:r>
          </w:p>
          <w:p w14:paraId="6BCEB636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Medical Treatment required</w:t>
            </w:r>
          </w:p>
          <w:p w14:paraId="74311599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temporary adverse effects</w:t>
            </w:r>
          </w:p>
          <w:p w14:paraId="1A1682A6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DBB7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MAJOR</w:t>
            </w:r>
          </w:p>
          <w:p w14:paraId="255FEB47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Extensive injury</w:t>
            </w:r>
          </w:p>
          <w:p w14:paraId="6BD1B691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long-term effects</w:t>
            </w:r>
          </w:p>
          <w:p w14:paraId="6755C638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C3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CATASTROPHIC</w:t>
            </w:r>
          </w:p>
          <w:p w14:paraId="4BC1B380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Fatality or permanent disability</w:t>
            </w:r>
          </w:p>
          <w:p w14:paraId="61101149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Event with major impact </w:t>
            </w:r>
          </w:p>
          <w:p w14:paraId="40740AEA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</w:tr>
      <w:tr w:rsidR="00CA7BB0" w14:paraId="4966FE55" w14:textId="77777777" w:rsidTr="00CA7BB0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A592" w14:textId="77777777" w:rsidR="00CA7BB0" w:rsidRDefault="00CA7BB0">
            <w:pPr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B552" w14:textId="77777777" w:rsidR="00CA7BB0" w:rsidRDefault="00CA7BB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D81D" w14:textId="77777777" w:rsidR="00CA7BB0" w:rsidRDefault="00CA7BB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BBC1" w14:textId="77777777" w:rsidR="00CA7BB0" w:rsidRDefault="00CA7BB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D88A" w14:textId="77777777" w:rsidR="00CA7BB0" w:rsidRDefault="00CA7BB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2908" w14:textId="77777777" w:rsidR="00CA7BB0" w:rsidRDefault="00CA7BB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</w:tr>
      <w:tr w:rsidR="00CA7BB0" w14:paraId="669EF6CE" w14:textId="77777777" w:rsidTr="00CA7BB0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37E856" w14:textId="77777777" w:rsidR="00CA7BB0" w:rsidRDefault="00CA7BB0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eastAsia="en-AU"/>
              </w:rPr>
              <w:t>LIKELIHOOD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DC78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PROBABLE</w:t>
            </w:r>
          </w:p>
          <w:p w14:paraId="108ECE66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Is expected to occur in most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90DA9F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1FEF1D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24EDDA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CC56E27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D1FC395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CA7BB0" w14:paraId="2C7F4ED3" w14:textId="77777777" w:rsidTr="00CA7B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2834" w14:textId="77777777" w:rsidR="00CA7BB0" w:rsidRDefault="00CA7BB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E41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LIKELY</w:t>
            </w:r>
          </w:p>
          <w:p w14:paraId="5C3ADE1F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Will probably occur in many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682480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4D2928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A30912A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43DC37D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08153F8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CA7BB0" w14:paraId="7539768F" w14:textId="77777777" w:rsidTr="00CA7B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6B3" w14:textId="77777777" w:rsidR="00CA7BB0" w:rsidRDefault="00CA7BB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96E5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POSSIBLE</w:t>
            </w:r>
          </w:p>
          <w:p w14:paraId="2D87AF2D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Could occur at some time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9581EF9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A91730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EB7961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59C827C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046BFD0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CA7BB0" w14:paraId="7E2BD97B" w14:textId="77777777" w:rsidTr="00CA7BB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50A6" w14:textId="77777777" w:rsidR="00CA7BB0" w:rsidRDefault="00CA7BB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E29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UNLIKELY</w:t>
            </w:r>
          </w:p>
          <w:p w14:paraId="4A1BD3CE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Not expected to occur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899666C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FFAF5E2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B79EDD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56743B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B5BD4B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CA7BB0" w14:paraId="0594A4A5" w14:textId="77777777" w:rsidTr="00CA7B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51D2" w14:textId="77777777" w:rsidR="00CA7BB0" w:rsidRDefault="00CA7BB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D527" w14:textId="77777777" w:rsidR="00CA7BB0" w:rsidRDefault="00CA7BB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IMPROBABLE</w:t>
            </w:r>
          </w:p>
          <w:p w14:paraId="334C40B7" w14:textId="77777777" w:rsidR="00CA7BB0" w:rsidRDefault="00CA7BB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May occur only in exceptional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F5B7696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2E1249F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246B037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E3209E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0674A28" w14:textId="77777777" w:rsidR="00CA7BB0" w:rsidRDefault="00CA7BB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</w:tbl>
    <w:p w14:paraId="4CD6AA4F" w14:textId="3E1E7A88" w:rsidR="007E3883" w:rsidRPr="005E3E86" w:rsidRDefault="007E3883" w:rsidP="007E3883">
      <w:pPr>
        <w:spacing w:line="240" w:lineRule="auto"/>
        <w:jc w:val="center"/>
        <w:rPr>
          <w:sz w:val="28"/>
          <w:szCs w:val="28"/>
        </w:rPr>
      </w:pPr>
    </w:p>
    <w:sectPr w:rsidR="007E3883" w:rsidRPr="005E3E86" w:rsidSect="007E38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77"/>
    <w:multiLevelType w:val="hybridMultilevel"/>
    <w:tmpl w:val="4CE8CD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A1C13"/>
    <w:multiLevelType w:val="hybridMultilevel"/>
    <w:tmpl w:val="5DCCE5E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9B1F94"/>
    <w:multiLevelType w:val="hybridMultilevel"/>
    <w:tmpl w:val="66543D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43087"/>
    <w:multiLevelType w:val="hybridMultilevel"/>
    <w:tmpl w:val="CA4E8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18D"/>
    <w:multiLevelType w:val="hybridMultilevel"/>
    <w:tmpl w:val="DCA8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443"/>
    <w:multiLevelType w:val="hybridMultilevel"/>
    <w:tmpl w:val="32D68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60058"/>
    <w:multiLevelType w:val="hybridMultilevel"/>
    <w:tmpl w:val="A0DEE0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6F709F"/>
    <w:multiLevelType w:val="hybridMultilevel"/>
    <w:tmpl w:val="C08AEF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B5E70"/>
    <w:multiLevelType w:val="hybridMultilevel"/>
    <w:tmpl w:val="6108D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D26CC"/>
    <w:multiLevelType w:val="hybridMultilevel"/>
    <w:tmpl w:val="225ECC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D9D"/>
    <w:rsid w:val="0003716C"/>
    <w:rsid w:val="00075DDD"/>
    <w:rsid w:val="00153867"/>
    <w:rsid w:val="001F207F"/>
    <w:rsid w:val="002368B9"/>
    <w:rsid w:val="002B5C55"/>
    <w:rsid w:val="003E12D7"/>
    <w:rsid w:val="00404709"/>
    <w:rsid w:val="00404E95"/>
    <w:rsid w:val="004719FE"/>
    <w:rsid w:val="004A0D9D"/>
    <w:rsid w:val="004A3E9E"/>
    <w:rsid w:val="004C0709"/>
    <w:rsid w:val="004D4EB9"/>
    <w:rsid w:val="00524D23"/>
    <w:rsid w:val="00541A9D"/>
    <w:rsid w:val="0054504B"/>
    <w:rsid w:val="00562BD7"/>
    <w:rsid w:val="0057412B"/>
    <w:rsid w:val="00575919"/>
    <w:rsid w:val="005E3E86"/>
    <w:rsid w:val="00606145"/>
    <w:rsid w:val="0066163E"/>
    <w:rsid w:val="0067399A"/>
    <w:rsid w:val="00701428"/>
    <w:rsid w:val="007D0363"/>
    <w:rsid w:val="007E3883"/>
    <w:rsid w:val="0083559D"/>
    <w:rsid w:val="008D678A"/>
    <w:rsid w:val="00903D7E"/>
    <w:rsid w:val="0094686A"/>
    <w:rsid w:val="00A63BE3"/>
    <w:rsid w:val="00A67C3A"/>
    <w:rsid w:val="00BF4D8A"/>
    <w:rsid w:val="00C40E1D"/>
    <w:rsid w:val="00C45646"/>
    <w:rsid w:val="00CA7BB0"/>
    <w:rsid w:val="00CC4A06"/>
    <w:rsid w:val="00DC4EE1"/>
    <w:rsid w:val="00E06C46"/>
    <w:rsid w:val="00EB2B4C"/>
    <w:rsid w:val="00EE0762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3460"/>
  <w15:docId w15:val="{B0871058-1CCE-40C6-B548-9DC9C6F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7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C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indenttext">
    <w:name w:val="pp indent text"/>
    <w:rsid w:val="004C0709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Cs w:val="20"/>
    </w:rPr>
  </w:style>
  <w:style w:type="table" w:customStyle="1" w:styleId="TableGrid2">
    <w:name w:val="Table Grid2"/>
    <w:basedOn w:val="TableNormal"/>
    <w:uiPriority w:val="59"/>
    <w:rsid w:val="00CA7BB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rgyfact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14</cp:revision>
  <cp:lastPrinted>2013-03-28T05:43:00Z</cp:lastPrinted>
  <dcterms:created xsi:type="dcterms:W3CDTF">2011-06-05T08:39:00Z</dcterms:created>
  <dcterms:modified xsi:type="dcterms:W3CDTF">2017-04-12T07:34:00Z</dcterms:modified>
</cp:coreProperties>
</file>